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QEWV — Antrag auf Eintragung in die Liste der qualifizierten Einrichtungen nach § 4d des Unterlassungsklagengesetzes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Der Antrag einer juristischen Person auf Eintragung in die Liste der qualifizierten Einrichtungen für grenzüberschreitende Verbandsklagen nach § 4d Absatz 1 des Unterlassungsklagengesetzes ist schriftlich zu stellen. Er muss Folgendes enthalten:</w:t>
      </w:r>
    </w:p>
    <w:p>
      <w:pPr>
        <w:ind w:left="420"/>
      </w:pPr>
      <w:r>
        <w:t xml:space="preserve">1. den Namen, eine ladungsfähige Anschrift, eine Telefonnummer und, sofern vorhanden, eine E-Mail-Adresse der juristischen Person,</w:t>
      </w:r>
    </w:p>
    <w:p>
      <w:pPr>
        <w:ind w:left="420"/>
      </w:pPr>
      <w:r>
        <w:t xml:space="preserve">2. das zuständige Registergericht und die Registernummer, wenn die juristische Person im Vereins-, Handels- oder Genossenschaftsregister eingetragen ist,</w:t>
      </w:r>
    </w:p>
    <w:p>
      <w:pPr>
        <w:ind w:left="420"/>
      </w:pPr>
      <w:r>
        <w:t xml:space="preserve">3. die Namen und Anschriften der Mitglieder des Vertretungsorgans der juristischen Person und Angaben zu ihrer Vertretungsberechtigung,</w:t>
      </w:r>
    </w:p>
    <w:p>
      <w:pPr>
        <w:ind w:left="420"/>
      </w:pPr>
      <w:r>
        <w:t xml:space="preserve">4. das Datum der Entstehung der juristischen Person,</w:t>
      </w:r>
    </w:p>
    <w:p>
      <w:pPr>
        <w:ind w:left="420"/>
      </w:pPr>
      <w:r>
        <w:t xml:space="preserve">5. Angaben zum Zweck und zu den satzungsmäßigen Aufgaben der juristischen Personen sowie die Angabe, ob der verfolgte Zweck steuerbegünstigt ist,</w:t>
      </w:r>
    </w:p>
    <w:p>
      <w:pPr>
        <w:ind w:left="420"/>
      </w:pPr>
      <w:r>
        <w:t xml:space="preserve">6. Angaben zu den internen Verfahren, durch die gewährleistet werden soll, dass</w:t>
      </w:r>
    </w:p>
    <w:p>
      <w:pPr>
        <w:ind w:left="780"/>
      </w:pPr>
      <w:r>
        <w:t xml:space="preserve">a) die juristische Person bei der Erhebung von Verbandsklagen nicht unter dem Einfluss anderer Personen als Verbrauchern steht,</w:t>
      </w:r>
    </w:p>
    <w:p>
      <w:pPr>
        <w:ind w:left="780"/>
      </w:pPr>
      <w:r>
        <w:t xml:space="preserve">b) Konflikte zwischen den Interessen Dritter, die Verbandsklagen finanzieren, vermieden werden und</w:t>
      </w:r>
    </w:p>
    <w:p>
      <w:pPr>
        <w:ind w:left="420"/>
      </w:pPr>
      <w:r>
        <w:t xml:space="preserve">7. die Adressen der Internetseiten, auf denen die Angaben nach § 4d Absatz 2 Satz 1 Nummer 5 des Unterlassungsklagengesetzes veröffentlicht sind und die für die Veröffentlichungen nach § 5a des Unterlassungsklagengesetzes genutzt werden sollen.</w:t>
      </w:r>
    </w:p>
    <w:p>
      <w:r>
        <w:t xml:space="preserve">(2) Dem Antrag müssen folgende Unterlagen beigefügt werden:</w:t>
      </w:r>
    </w:p>
    <w:p>
      <w:pPr>
        <w:ind w:left="420"/>
      </w:pPr>
      <w:r>
        <w:t xml:space="preserve">1. Unterlagen, aus denen sich ergibt, wann die juristische Person entstanden ist und dass sie nicht aufgelöst wurde, wenn sie nicht im Vereins-, Handels- oder Genossenschaftsregister eingetragen ist,</w:t>
      </w:r>
    </w:p>
    <w:p>
      <w:pPr>
        <w:ind w:left="420"/>
      </w:pPr>
      <w:r>
        <w:t xml:space="preserve">2. eine Kopie der zum Zeitpunkt der Antragstellung gültigen Satzung der juristischen Person und</w:t>
      </w:r>
    </w:p>
    <w:p>
      <w:pPr>
        <w:ind w:left="420"/>
      </w:pPr>
      <w:r>
        <w:t xml:space="preserve">3. Ausdrucke der Internetseiten, auf denen die Angaben nach § 4d Absatz 2 Satz 1 Nummer 5 des Unterlassungsklagengesetzes veröffentlicht sind.</w:t>
      </w:r>
    </w:p>
    <w:p>
      <w:r>
        <w:t xml:space="preserve">Verfolgt die juristische Person gemeinnützige Zwecke, so ist dem Antrag auch eine Kopie der Bescheinigung des zuständigen Finanzamts über die satzungsmäßigen Voraussetzungen der Gemeinnützigkeit nach § 60a der Abgabenordnung beizufügen.</w:t>
      </w:r>
    </w:p>
    <w:p>
      <w:r>
        <w:t xml:space="preserve">(3) Das Bundesamt für Justiz kann vom Antragsteller zur Prüfung und zum Nachweis der Eintragungsvoraussetzungen ergänzende Angaben und Unterlagen verlangen, insbesondere, um die Richtigkeit der Angaben auf der nach Absatz 1 Satz 2 Nummer 6 mitgeteilten Internetseite zu überprüfen.</w:t>
      </w:r>
    </w:p>
    <w:p>
      <w:r>
        <w:rPr>
          <w:color w:val="555555"/>
          <w:sz w:val="17"/>
        </w:rPr>
        <w:t xml:space="preserve">Zitiervorschlag: § 18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