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QA-VO (Nordrhein-Westfalen)</w:t>
      </w:r>
    </w:p>
    <w:p>
      <w:r>
        <w:rPr>
          <w:color w:val="555555"/>
          <w:sz w:val="18"/>
        </w:rPr>
        <w:t xml:space="preserve">Qualitätsanalyse-Verordnung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April 2007</w:t>
      </w:r>
    </w:p>
    <w:p>
      <w:r>
        <w:t xml:space="preserve">Aufgrund der §§ 65 Abs. 3 und 86 Abs. 5 des Schulgesetzes für das Land Nordrhein-Westfalen (Schulgesetz NRW – SchulG) vom 15. Februar 2005 (GV. NRW. S. 102), zuletzt geändert durch Artikel 1 des Gesetzes vom 27. Juni 2006 (GV. NRW. S. 278), wird mit Zustimmung des für Schulen zuständigen Ausschusses des Landtags verordnet:</w:t>
      </w:r>
    </w:p>
    <w:p>
      <w:r>
        <w:t xml:space="preserve">Inhaltsübersicht</w:t>
      </w:r>
    </w:p>
    <w:p>
      <w:r>
        <w:t xml:space="preserve">§ 1</w:t>
      </w:r>
    </w:p>
    <w:p>
      <w:r>
        <w:t xml:space="preserve">Ziele und Aufgaben</w:t>
      </w:r>
    </w:p>
    <w:p>
      <w:r>
        <w:t xml:space="preserve">§ 2</w:t>
      </w:r>
    </w:p>
    <w:p>
      <w:r>
        <w:t xml:space="preserve">Stellung und Organisation des Personals</w:t>
      </w:r>
    </w:p>
    <w:p>
      <w:r>
        <w:t xml:space="preserve">§ 3</w:t>
      </w:r>
    </w:p>
    <w:p>
      <w:r>
        <w:t xml:space="preserve">Durchführung der Qualitätsanalyse an Schulen</w:t>
      </w:r>
    </w:p>
    <w:p>
      <w:r>
        <w:t xml:space="preserve">§ 4</w:t>
      </w:r>
    </w:p>
    <w:p>
      <w:r>
        <w:t xml:space="preserve">Schulen in freier Trägerschaft</w:t>
      </w:r>
    </w:p>
    <w:p>
      <w:r>
        <w:t xml:space="preserve">§ 5</w:t>
      </w:r>
    </w:p>
    <w:p>
      <w:r>
        <w:t xml:space="preserve">In-Kraft-Treten, Berichtspflicht</w:t>
      </w:r>
    </w:p>
    <w:p>
      <w:r>
        <w:rPr>
          <w:color w:val="555555"/>
          <w:sz w:val="17"/>
        </w:rPr>
        <w:t xml:space="preserve">Zitiervorschlag: Volltext QA-VO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https://recht.nulegal.eu/gesetze/QA-VO/volltext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