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PublG — Prüfung durch den Aufsichtsrat</w:t>
      </w:r>
    </w:p>
    <w:p>
      <w:r>
        <w:rPr>
          <w:color w:val="555555"/>
          <w:sz w:val="18"/>
        </w:rPr>
        <w:t xml:space="preserve">Publizitätsgesetz</w:t>
      </w:r>
    </w:p>
    <w:p>
      <w:r>
        <w:rPr>
          <w:color w:val="555555"/>
          <w:sz w:val="18"/>
        </w:rPr>
        <w:t xml:space="preserve">Stand: 01.07.2021 (konsolidierte Textfassung, kein amtliches Inkrafttretensdatum)</w:t>
      </w:r>
    </w:p>
    <w:p>
      <w:r>
        <w:t xml:space="preserve">Hat das Unternehmen einen Aufsichtsrat, so haben die gesetzlichen Vertreter unverzüglich nach Eingang des Prüfungsberichts der Abschlußprüfer den Jahresabschluß, den Lagebericht und den Prüfungsbericht der Abschlußprüfer dem Aufsichtsrat vorzulegen. Der Aufsichtsrat hat den Jahresabschluß und den Lagebericht zu prüfen; er hat über das Ergebnis seiner Prüfung schriftlich zu berichten. § 170 Abs. 3, § 171 Abs. 1 Satz 2 und 3, Abs. 2 Satz 2 bis 5, Abs. 3 des Aktiengesetzes gelten sinngemäß. Die Sätze 1 bis 3 gelten auch für einen Einzelabschluss nach § 9 Abs. 1 Satz 1 dieses Gesetzes in Verbindung mit § 325 Abs. 2a des Handelsgesetzbuchs; für einen solchen Abschluss gilt ferner § 171 Abs. 4 Satz 1 des Aktiengesetzes sinngemäß. Ist das Unternehmen ein Unternehmen von öffentlichem Interesse nach § 316a Satz 2 Nummer 1 des Handelsgesetzbuchs und hat es einen Aufsichtsrat, gelten auch § 100 Absatz 5 und § 107 Absatz 4 des Aktiengesetzes entsprechend. Der Prüfungsausschuss hat sich mit den in § 107 Absatz 3 Satz 2 und 3 des Aktiengesetzes beschriebenen Aufgaben zu befassen.</w:t>
      </w:r>
    </w:p>
    <w:p>
      <w:r>
        <w:rPr>
          <w:color w:val="555555"/>
          <w:sz w:val="17"/>
        </w:rPr>
        <w:t xml:space="preserve">Zitiervorschlag: § 7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