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PublG — Offenlegung des Konzernabschlusses</w:t>
      </w:r>
    </w:p>
    <w:p>
      <w:r>
        <w:rPr>
          <w:color w:val="555555"/>
          <w:sz w:val="18"/>
        </w:rPr>
        <w:t xml:space="preserve">Publizitätsgesetz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gesetzlichen Vertreter des Mutterunternehmens haben für dieses den Konzernabschluß oder Teilkonzernabschluß mit dem Bestätigungsvermerk oder dem Vermerk über dessen Versagung und den Konzernlagebericht oder Teilkonzernlagebericht in sinngemäßer Anwendung des § 325 Absatz 3 bis 6 sowie des § 327a des Handelsgesetzbuchs offenzulegen.</w:t>
      </w:r>
    </w:p>
    <w:p>
      <w:r>
        <w:t xml:space="preserve">(2) Für die Offenlegung, Veröffentlichung und Vervielfältigung des Konzernabschlusses, Teilkonzernabschlusses, Konzernlageberichts und des Teilkonzernlageberichts gilt § 328, für die Prüfungspflicht der das Unternehmensregister führenden Stelle § 329 Absatz 1, 2 und 4 des Handelsgesetzbuchs sinngemäß.</w:t>
      </w:r>
    </w:p>
    <w:p>
      <w:r>
        <w:rPr>
          <w:color w:val="555555"/>
          <w:sz w:val="17"/>
        </w:rPr>
        <w:t xml:space="preserve">Zitiervorschlag: § 15 PublG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https://recht.nulegal.eu/gesetze/PublG/15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