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PublG — Prüfung des Konzernabschlusses</w:t>
      </w:r>
    </w:p>
    <w:p>
      <w:r>
        <w:rPr>
          <w:color w:val="555555"/>
          <w:sz w:val="18"/>
        </w:rPr>
        <w:t xml:space="preserve">Publizitätsgesetz</w:t>
      </w:r>
    </w:p>
    <w:p>
      <w:r>
        <w:rPr>
          <w:color w:val="555555"/>
          <w:sz w:val="18"/>
        </w:rPr>
        <w:t xml:space="preserve">Stand: 10.06.2019 (konsolidierte Textfassung, kein amtliches Inkrafttretensdatum)</w:t>
      </w:r>
    </w:p>
    <w:p>
      <w:r>
        <w:t xml:space="preserve">(1) Der Konzernabschluß oder Teilkonzernabschluß ist unter Einbeziehung des Konzernlageberichts oder des Teilkonzernlageberichts durch einen Abschlußprüfer zu prüfen. § 316 Abs. 3, §§ 317 bis 324 des Handelsgesetzbuchs über die Prüfung sowie § 6 Abs. 2, 3 dieses Gesetzes gelten sinngemäß.</w:t>
      </w:r>
    </w:p>
    <w:p>
      <w:r>
        <w:t xml:space="preserve">(2) Ist das Mutterunternehmen eine Genossenschaft, so ist der Prüfungsverband, dem die Genossenschaft angehört, auch Abschlußprüfer des Konzernabschlusses. Der von einem Prüfungsverband geprüfte Konzernabschluß oder Teilkonzernabschluß hat befreiende Wirkung nach nach den §§ 291 und 292 des Handelsgesetzbuchs nur, wenn das befreite Tochterunternehmen, das gleichzeitig Mutterunternehmen ist, seinen Konzernabschluß oder Teilkonzernabschluß von dieser Person hätte prüfen lassen können.</w:t>
      </w:r>
    </w:p>
    <w:p>
      <w:r>
        <w:t xml:space="preserve">(3) Hat das Mutterunternehmen einen Aufsichtsrat, so haben die gesetzlichen Vertreter den Konzernabschluß oder den Teilkonzernabschluß, den Konzernlagebericht oder den Teilkonzernlagebericht und den Prüfungsbericht des Abschlußprüfers des Konzernabschlusses unverzüglich nach Eingang des Prüfungsberichts dem Aufsichtsrat zur Kenntnisnahme vorzulegen. Jedes Aufsichtsratsmitglied hat das Recht, von den Vorlagen Kenntnis zu nehmen. Die Vorlagen sind auch jedem Aufsichtsratsmitglied auf Verlangen auszuhändigen, soweit der Aufsichtsrat nichts anderes beschlossen hat.</w:t>
      </w:r>
    </w:p>
    <w:p>
      <w:r>
        <w:rPr>
          <w:color w:val="555555"/>
          <w:sz w:val="17"/>
        </w:rPr>
        <w:t xml:space="preserve">Zitiervorschlag: § 14 PublG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https://recht.nulegal.eu/gesetze/PublG/14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