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PublG — Beginn und Dauer der Pflicht zur Konzernrechnungslegung</w:t>
      </w:r>
    </w:p>
    <w:p>
      <w:r>
        <w:rPr>
          <w:color w:val="555555"/>
          <w:sz w:val="18"/>
        </w:rPr>
        <w:t xml:space="preserve">Publizitätsgesetz</w:t>
      </w:r>
    </w:p>
    <w:p>
      <w:r>
        <w:rPr>
          <w:color w:val="555555"/>
          <w:sz w:val="18"/>
        </w:rPr>
        <w:t xml:space="preserve">Stand: 01.08.2022 (konsolidierte Textfassung, kein amtliches Inkrafttretensdatum)</w:t>
      </w:r>
    </w:p>
    <w:p>
      <w:r>
        <w:t xml:space="preserve">(1) Für den Beginn und die Dauer der Pflicht, nach diesem Abschnitt Rechnung zu legen, gilt § 2 Abs. 1 Satz 1 und 3 sinngemäß.</w:t>
      </w:r>
    </w:p>
    <w:p>
      <w:r>
        <w:t xml:space="preserve">(2) Die gesetzlichen Vertreter eines Mutterunternehmens, für dessen Abschlussstichtag mindestens zwei der drei Merkmale des § 11 Abs. 1 zutreffen, haben unverzüglich der das Unternehmensregister führenden Stelle elektronisch (§ 12 Abs. 2 des Handelsgesetzbuchs) die Erklärung zur Einstellung in das Unternehmensregister zu übermitteln, dass für diesen Abschlussstichtag zwei der drei Merkmale des § 11 Abs. 1 zutreffen; § 11 Abs. 2 Satz 2 gilt entsprechend. Eine entsprechende Erklärung haben die gesetzlichen Vertreter des Mutterunternehmens auch für jeden der beiden folgenden Abschlussstichtage unverzüglich der das Unternehmensregister führenden Stelle elektronisch zur Einstellung in das Unternehmensregister zu übermitteln, wenn die Merkmale auch für diesen Abschlussstichtag zutreffen.</w:t>
      </w:r>
    </w:p>
    <w:p>
      <w:r>
        <w:t xml:space="preserve">(3) Das Gericht hat zur Prüfung der Frage, ob ein Mutterunternehmen nach diesem Abschnitt Rechnung zu legen hat, Prüfer zu bestellen, wenn Anlaß für die Annahme besteht, daß das Mutterunternehmen zur Rechnungslegung nach diesem Abschnitt verpflichtet ist. Hat das Mutterunternehmen einen Aufsichtsrat, so ist vor der Bestellung außer den gesetzlichen Vertretern des Mutterunternehmens auch dieser zu hören. § 2 Absatz 3 Satz 3 bis 7 gilt sinngemäß.</w:t>
      </w:r>
    </w:p>
    <w:p>
      <w:r>
        <w:rPr>
          <w:color w:val="555555"/>
          <w:sz w:val="17"/>
        </w:rPr>
        <w:t xml:space="preserve">Zitiervorschlag: § 12 PublG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https://recht.nulegal.eu/gesetze/PublG/12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