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PublG — Zur Rechnungslegung verpflichtete Mutterunternehmen</w:t>
      </w:r>
    </w:p>
    <w:p>
      <w:r>
        <w:rPr>
          <w:color w:val="555555"/>
          <w:sz w:val="18"/>
        </w:rPr>
        <w:t xml:space="preserve">Publizitätsgesetz</w:t>
      </w:r>
    </w:p>
    <w:p>
      <w:r>
        <w:rPr>
          <w:color w:val="555555"/>
          <w:sz w:val="18"/>
        </w:rPr>
        <w:t xml:space="preserve">Stand: 10.06.2019 (konsolidierte Textfassung, kein amtliches Inkrafttretensdatum)</w:t>
      </w:r>
    </w:p>
    <w:p>
      <w:r>
        <w:t xml:space="preserve">(1) Kann ein Unternehmen mit Sitz (Hauptniederlassung) im Inland unmittelbar oder mittelbar einen beherrschenden Einfluss auf ein anderes Unternehmen ausüben, so hat dieses Unternehmen (Mutterunternehmen) nach den folgenden Vorschriften Rechnung zu legen, wenn für drei aufeinander folgende Konzernabschlußstichtage jeweils mindestens zwei der drei folgenden Merkmale zutreffen:</w:t>
      </w:r>
    </w:p>
    <w:p>
      <w:pPr>
        <w:ind w:left="420"/>
      </w:pPr>
      <w:r>
        <w:t xml:space="preserve">1. Die Bilanzsumme einer auf den Konzernabschlußstichtag aufgestellten Konzernbilanz übersteigt 65 Millionen Euro.</w:t>
      </w:r>
    </w:p>
    <w:p>
      <w:pPr>
        <w:ind w:left="420"/>
      </w:pPr>
      <w:r>
        <w:t xml:space="preserve">2. Die Umsatzerlöse einer auf den Konzernabschlußstichtag aufgestellten Konzern-Gewinn- und Verlustrechnung in den zwölf Monaten vor dem Abschlußstichtag übersteigen 130 Millionen Euro.</w:t>
      </w:r>
    </w:p>
    <w:p>
      <w:pPr>
        <w:ind w:left="420"/>
      </w:pPr>
      <w:r>
        <w:t xml:space="preserve">3. Die Konzernunternehmen mit Sitz im Inland haben in den zwölf Monaten vor dem Konzernabschlußstichtag insgesamt durchschnittlich mehr als fünftausend Arbeitnehmer beschäftigt.</w:t>
      </w:r>
    </w:p>
    <w:p>
      <w:r>
        <w:t xml:space="preserve">(2) Bilanzsumme nach Absatz 1 Nr. 1 ist die Bilanzsumme einer nach § 13 Abs. 2 aufgestellten Konzernbilanz; § 1 Abs. 2 Satz 2 bis 5 gilt sinngemäß. Braucht das Mutterunternehmen einen Jahresabschluß nicht aufzustellen, so ist der Abschlußstichtag des größten Unternehmens mit Sitz im Inland maßgebend.</w:t>
      </w:r>
    </w:p>
    <w:p>
      <w:r>
        <w:t xml:space="preserve">(3) Kann ein Unternehmen mit Sitz (Hauptniederlassung) im Ausland unmittelbar oder mittelbar einen beherrschenden Einfluss auf ein anderes Unternehmen ausüben und beherrscht dieses Unternehmen über ein oder mehrere zum Konzern gehörende Unternehmen mit Sitz (Hauptniederlassung) im Inland andere Unternehmen, so haben die Unternehmen mit Sitz im Inland, die der Konzernleitung am nächsten stehen (Mutterunternehmen), für ihren Konzernbereich (Teilkonzern) nach diesem Abschnitt Rechnung zu legen, wenn für drei aufeinander folgende Abschlußstichtage des Mutterunternehmens mindestens zwei der drei Merkmale des Absatzes 1 für den Teilkonzern zutreffen. Absatz 2 gilt sinngemäß.</w:t>
      </w:r>
    </w:p>
    <w:p>
      <w:r>
        <w:t xml:space="preserve">(4) (weggefallen)</w:t>
      </w:r>
    </w:p>
    <w:p>
      <w:r>
        <w:t xml:space="preserve">(5) Dieser Abschnitt ist nicht anzuwenden, wenn das Mutterunternehmen eine Aktiengesellschaft, eine Kommanditgesellschaft auf Aktien, eine Gesellschaft mit beschränkter Haftung, ein Kreditinstitut im Sinne des § 340 des Handelsgesetzbuchs oder eine in § 2 Abs. 1 Nr. 1, 2 und 4 des Gesetzes über das Kreditwesen genannte Person oder ein Versicherungsunternehmen im Sinne des § 341 des Handelsgesetzbuchs ist oder als Personenhandelsgesellschaft nach § 3 Abs. 1 Satz 1 Nr. 1 den ersten Abschnitt nicht anzuwenden hat. Weiterhin sind Personenhandelsgesellschaften und Einzelkaufleute zur Aufstellung eines Konzernabschlusses nach diesem Abschnitt nicht verpflichtet, wenn sich ihr Gewerbebetrieb auf die Vermögensverwaltung beschränkt und sie nicht die Aufgaben der Konzernleitung wahrnehmen.</w:t>
      </w:r>
    </w:p>
    <w:p>
      <w:r>
        <w:t xml:space="preserve">(6) Folgende Bestimmungen des Handelsgesetzbuchs gelten sinngemäß:</w:t>
      </w:r>
    </w:p>
    <w:p>
      <w:pPr>
        <w:ind w:left="420"/>
      </w:pPr>
      <w:r>
        <w:t xml:space="preserve">1. § 290 Abs. 2 bis 5 über die Pflicht zur Aufstellung sowie die §§ 291 und 292 über befreiende Konzernabschlüsse und Konzernlageberichte;</w:t>
      </w:r>
    </w:p>
    <w:p>
      <w:pPr>
        <w:ind w:left="420"/>
      </w:pPr>
      <w:r>
        <w:t xml:space="preserve">2. § 315e über den Konzernabschluss nach internationalen Rechnungslegungsstandards, Absatz 2 der Vorschrift jedoch nur, wenn das Mutterunternehmen seiner Rechtsform nach in den Anwendungsbereich der Verordnung (EG) Nr. 1606/2002 des Europäischen Parlaments und des Rates vom 19. Juli 2002 betreffend die Anwendung internationaler Rechnungslegungsstandards (ABl. EG Nr. L 243 S. 1) in ihrer jeweils geltenden Fassung fällt.</w:t>
      </w:r>
    </w:p>
    <w:p>
      <w:r>
        <w:t xml:space="preserve">Sind die Voraussetzungen des § 315e des Handelsgesetzbuchs erfüllt, so gilt § 13 Abs. 2 Satz 1 und 2, Abs. 3 Satz 1 und 2 in Verbindung mit § 5 Abs. 5 dieses Gesetzes nicht.</w:t>
      </w:r>
    </w:p>
    <w:p>
      <w:r>
        <w:rPr>
          <w:color w:val="555555"/>
          <w:sz w:val="17"/>
        </w:rPr>
        <w:t xml:space="preserve">Zitiervorschlag: § 11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