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PublG — Zur Rechnungslegung verpflichtete Unternehmen</w:t>
      </w:r>
    </w:p>
    <w:p>
      <w:r>
        <w:rPr>
          <w:color w:val="555555"/>
          <w:sz w:val="18"/>
        </w:rPr>
        <w:t xml:space="preserve">Publizitätsgesetz</w:t>
      </w:r>
    </w:p>
    <w:p>
      <w:r>
        <w:rPr>
          <w:color w:val="555555"/>
          <w:sz w:val="18"/>
        </w:rPr>
        <w:t xml:space="preserve">Stand: 01.07.2021 (konsolidierte Textfassung, kein amtliches Inkrafttretensdatum)</w:t>
      </w:r>
    </w:p>
    <w:p>
      <w:r>
        <w:t xml:space="preserve">(1) Ein Unternehmen hat nach diesem Abschnitt Rechnung zu legen, wenn für den Tag des Ablaufs eines Geschäftsjahrs (Abschlußstichtag) und für die zwei darauf folgenden Abschlußstichtage jeweils mindestens zwei der drei nachstehenden Merkmale zutreffen:</w:t>
      </w:r>
    </w:p>
    <w:p>
      <w:pPr>
        <w:ind w:left="420"/>
      </w:pPr>
      <w:r>
        <w:t xml:space="preserve">1. Die Bilanzsumme einer auf den Abschlußstichtag aufgestellten Jahresbilanz übersteigt 65 Millionen Euro.</w:t>
      </w:r>
    </w:p>
    <w:p>
      <w:pPr>
        <w:ind w:left="420"/>
      </w:pPr>
      <w:r>
        <w:t xml:space="preserve">2. Die Umsatzerlöse des Unternehmens in den zwölf Monaten vor dem Abschlußstichtag übersteigen 130 Millionen Euro.</w:t>
      </w:r>
    </w:p>
    <w:p>
      <w:pPr>
        <w:ind w:left="420"/>
      </w:pPr>
      <w:r>
        <w:t xml:space="preserve">3. Das Unternehmen hat in den zwölf Monaten vor dem Abschlußstichtag durchschnittlich mehr als fünftausend Arbeitnehmer beschäftigt.</w:t>
      </w:r>
    </w:p>
    <w:p>
      <w:r>
        <w:t xml:space="preserve">(2) Bilanzsumme nach Absatz 1 Nr. 1 ist die Bilanzsumme einer gemäß § 5 Abs. 2 aufgestellten Jahresbilanz; bei Unternehmen, die in ihrer Jahresbilanz Beträge für von ihnen geschuldete Verbrauchsteuern oder Monopolabgaben unter Rückstellungen oder Verbindlichkeiten angesetzt haben, ist die Bilanzsumme um diese Beträge zu kürzen. Trifft für den Abschlußstichtag das Merkmal nach Absatz 1 Nr. 2 oder das Merkmal nach Absatz 1 Nr. 3 zu, hat das Unternehmen zur Feststellung, ob auch das Merkmal nach Absatz 1 Nr. 1 zutrifft, eine Jahresbilanz nach § 5 Abs. 2 aufzustellen. Für die Ermittlung der Umsatzerlöse nach Absatz 1 Nr. 2 gilt § 277 Abs. 1 des Handelsgesetzbuchs mit der Maßgabe, daß auch die in den Umsatzerlösen enthaltenen Verbrauchsteuern oder Monopolabgaben abzusetzen sind. Umsatzerlöse in fremder Währung sind nach dem amtlichen Kurs in Euro umzurechnen. Durchschnittliche Zahl der Arbeitnehmer nach Absatz 1 Nr. 3 ist der zwölfte Teil der Summe aus den Zahlen der am Ende eines jeden Monats beschäftigten Arbeitnehmer einschließlich der zu ihrer Berufsausbildung Beschäftigten sowie der im Ausland beschäftigten Arbeitnehmer.</w:t>
      </w:r>
    </w:p>
    <w:p>
      <w:r>
        <w:t xml:space="preserve">(3) Ein Unternehmen hat nach diesem Abschnitt Rechnung zu legen, wenn es am Abschlussstichtag in sinngemäßer Anwendung des § 264d des Handelsgesetzbuchs kapitalmarktorientiert ist.</w:t>
      </w:r>
    </w:p>
    <w:p>
      <w:r>
        <w:t xml:space="preserve">(4) (weggefallen)</w:t>
      </w:r>
    </w:p>
    <w:p>
      <w:r>
        <w:t xml:space="preserve">(5) Mehrere Handelsgeschäfte eines Einzelkaufmanns sind, auch wenn sie nicht unter der gleichen Firma betrieben werden, nur ein Unternehmen im Sinne dieses Gesetzes.</w:t>
      </w:r>
    </w:p>
    <w:p>
      <w:r>
        <w:rPr>
          <w:color w:val="555555"/>
          <w:sz w:val="17"/>
        </w:rPr>
        <w:t xml:space="preserve">Zitiervorschlag: § 1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