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PuKWFV (Bayern)</w:t>
      </w:r>
    </w:p>
    <w:p>
      <w:r>
        <w:rPr>
          <w:color w:val="555555"/>
          <w:sz w:val="18"/>
        </w:rPr>
        <w:t xml:space="preserve">Verordnung über die Förderung der privaten und körperschaftlichen Waldwirtschaft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10 Abs. 2 Nr. 4 des Bayerischen Gesetzes zur nachhaltigen Entwicklung der Agrarwirtschaft und des ländlichen Raumes (Bayerisches Agrarwirtschaftsgesetz – BayAgrarWiG) vom 8. Dezember 2006 (GVBl S. 938, BayRS 787-1-L) erlässt das Bayerische Staatsministerium für Landwirtschaft und Forsten folgende Verordnung:</w:t>
      </w:r>
    </w:p>
    <w:p>
      <w:r>
        <w:rPr>
          <w:color w:val="555555"/>
          <w:sz w:val="17"/>
        </w:rPr>
        <w:t xml:space="preserve">Zitiervorschlag: Eingangsformel PuKWFV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https://recht.nulegal.eu/gesetze/PuKWFV/eingangsformel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