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PuKWFV (Bayern) — Inkrafttreten</w:t>
      </w:r>
    </w:p>
    <w:p>
      <w:r>
        <w:rPr>
          <w:color w:val="555555"/>
          <w:sz w:val="18"/>
        </w:rPr>
        <w:t xml:space="preserve">Verordnung über die Förderung der privaten und körperschaftlichen Waldwirtschaft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1973 in Kraft.</w:t>
      </w:r>
    </w:p>
    <w:p>
      <w:r>
        <w:t xml:space="preserve">(2) (gegenstandslos)</w:t>
      </w:r>
    </w:p>
    <w:p>
      <w:r>
        <w:t xml:space="preserve">[Amtl. Anm.:] Betrifft die ursprüngliche Fassung vom 14. November 1972 (GVBl. S. 481)</w:t>
      </w:r>
    </w:p>
    <w:p>
      <w:r>
        <w:rPr>
          <w:color w:val="555555"/>
          <w:sz w:val="17"/>
        </w:rPr>
        <w:t xml:space="preserve">Zitiervorschlag: § 6 PuKWFV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https://recht.nulegal.eu/gesetze/PuKWFV/6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