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PsychThV — Inkrafttreten</w:t>
      </w:r>
    </w:p>
    <w:p>
      <w:r>
        <w:rPr>
          <w:color w:val="555555"/>
          <w:sz w:val="18"/>
        </w:rPr>
        <w:t xml:space="preserve">Verordnung über die Ausbildungsförderung für den Besuch von Ausbildungsstätten für Psychotherapie und Kinder- und Jugendlichenpsychotherapie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PsychThV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