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PsychThG 2020 — Rücknahme, Widerruf und Ruhen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Approbation ist zurückzunehmen, wenn bei ihrer Erteilung die Voraussetzung des § 2 Absatz 1 Nummer 1 nicht vorgelegen hat. Die Approbation kann zurückgenommen werden, wenn bei ihrer Erteilung die Voraussetzung des § 2 Absatz 1 Nummer 2 oder Nummer 3 nicht vorgelegen hat. Im Übrigen bleiben die dem § 48 des Verwaltungsverfahrensgesetzes entsprechenden landesrechtlichen Vorschriften unberührt.</w:t>
      </w:r>
    </w:p>
    <w:p>
      <w:r>
        <w:t xml:space="preserve">(2) Die Approbation ist zu widerrufen, wenn nachträglich</w:t>
      </w:r>
    </w:p>
    <w:p>
      <w:pPr>
        <w:ind w:left="420"/>
      </w:pPr>
      <w:r>
        <w:t xml:space="preserve">1. die Voraussetzung nach § 2 Absatz 1 Nummer 2 wegfällt oder</w:t>
      </w:r>
    </w:p>
    <w:p>
      <w:pPr>
        <w:ind w:left="420"/>
      </w:pPr>
      <w:r>
        <w:t xml:space="preserve">2. dauerhaft die Voraussetzung nach § 2 Absatz 1 Nummer 3 wegfällt.</w:t>
      </w:r>
    </w:p>
    <w:p>
      <w:r>
        <w:t xml:space="preserve">Im Übrigen bleiben die dem § 49 des Verwaltungsverfahrensgesetzes entsprechenden landesrechtlichen Vorschriften unberührt.</w:t>
      </w:r>
    </w:p>
    <w:p>
      <w:r>
        <w:t xml:space="preserve">(3) Das Ruhen der Approbation kann angeordnet werden, wenn</w:t>
      </w:r>
    </w:p>
    <w:p>
      <w:pPr>
        <w:ind w:left="420"/>
      </w:pPr>
      <w:r>
        <w:t xml:space="preserve">1. gegen die betreffende Person wegen des Verdachts einer Straftat, aus der sich die Unwürdigkeit oder Unzuverlässigkeit zur Ausübung des Berufs ergeben würde, ein Strafverfahren eingeleitet worden ist,</w:t>
      </w:r>
    </w:p>
    <w:p>
      <w:pPr>
        <w:ind w:left="420"/>
      </w:pPr>
      <w:r>
        <w:t xml:space="preserve">2. die gesundheitliche Eignung zur Ausübung des Berufs voraussichtlich nur vorübergehend wegfällt,</w:t>
      </w:r>
    </w:p>
    <w:p>
      <w:pPr>
        <w:ind w:left="420"/>
      </w:pPr>
      <w:r>
        <w:t xml:space="preserve">3. Zweifel an der gesundheitlichen Eignung der betreffenden Person bestehen, die Person sich aber weigert, sich einer von der zuständigen Behörde angeordneten amts- oder fachärztlichen Untersuchung zu unterziehen,</w:t>
      </w:r>
    </w:p>
    <w:p>
      <w:pPr>
        <w:ind w:left="420"/>
      </w:pPr>
      <w:r>
        <w:t xml:space="preserve">4. sich erweist, dass die betreffende Person nicht über die für die Ausübung des Berufs erforderlichen Kenntnisse der deutschen Sprache verfügt oder</w:t>
      </w:r>
    </w:p>
    <w:p>
      <w:pPr>
        <w:ind w:left="420"/>
      </w:pPr>
      <w:r>
        <w:t xml:space="preserve">5. sich ergibt, dass die betreffende Person nicht ausreichend gegen die sich aus ihrer Berufsausübung ergebenden Haftpflichtgefahren versichert ist, sofern kraft Landesrechts oder kraft Standesrechts eine Pflicht zur Versicherung besteht.</w:t>
      </w:r>
    </w:p>
    <w:p>
      <w:r>
        <w:t xml:space="preserve">Die Anordnung des Ruhens der Erlaubnis ist aufzuheben, sobald die Voraussetzung für die Anordnung nicht mehr vorliegt.</w:t>
      </w:r>
    </w:p>
    <w:p>
      <w:r>
        <w:t xml:space="preserve">(4) Die Absätze 1 bis 3 gelten entsprechend für Personen mit einer Erlaubnis zur vorübergehenden Berufsausübung oder einer Erlaubnis zur partiellen Berufsausübung.</w:t>
      </w:r>
    </w:p>
    <w:p>
      <w:r>
        <w:rPr>
          <w:color w:val="555555"/>
          <w:sz w:val="17"/>
        </w:rPr>
        <w:t xml:space="preserve">Zitiervorschlag: § 5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https://recht.nulegal.eu/gesetze/PsychThG%202020/5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