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PsychThG 2020 — Regelungen über Gebühren</w:t>
      </w:r>
    </w:p>
    <w:p>
      <w:r>
        <w:rPr>
          <w:color w:val="555555"/>
          <w:sz w:val="18"/>
        </w:rPr>
        <w:t xml:space="preserve">Psychotherapeutengesetz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Das Bundesministerium für Gesundheit wird ermächtigt, durch Rechtsverordnung mit Zustimmung des Bundesrates die Entgelte für psychotherapeutische Tätigkeiten von Psychotherapeutinnen und Psychotherapeuten bei Privatbehandlung zu regeln.</w:t>
      </w:r>
    </w:p>
    <w:p>
      <w:r>
        <w:t xml:space="preserve">(2) In der Rechtsverordnung sind Mindest- und Höchstsätze für die psychotherapeutischen Leistungen festzusetzen. Dabei ist sowohl den berechtigten Interessen der leistungserbringenden Personen als auch den berechtigten Interessen der zur Zahlung der Entgelte Verpflichteten Rechnung zu tragen.</w:t>
      </w:r>
    </w:p>
    <w:p>
      <w:r>
        <w:rPr>
          <w:color w:val="555555"/>
          <w:sz w:val="17"/>
        </w:rPr>
        <w:t xml:space="preserve">Zitiervorschlag: § 21 PsychThG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https://recht.nulegal.eu/gesetze/PsychThG%202020/21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