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PsychThG 2020 — Regelungen über Ausbildung, Prüfung und Approbation</w:t>
      </w:r>
    </w:p>
    <w:p>
      <w:r>
        <w:rPr>
          <w:color w:val="555555"/>
          <w:sz w:val="18"/>
        </w:rPr>
        <w:t xml:space="preserve">Psychotherapeutengesetz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Das Bundesministerium für Gesundheit wird ermächtigt, durch Rechtsverordnung mit Zustimmung des Bundesrates die Mindestanforderungen an das Studium nach § 9 einschließlich der Inhalte der hochschulischen Lehre sowie der berufspraktischen Einsätze und das Nähere über die psychotherapeutische Prüfung nach § 10 zu regeln. Die als Approbationsordnung für Psychotherapeutinnen und Psychotherapeuten auszugestaltende Rechtsverordnung soll auch Vorschriften über die für die Erteilung der Approbation nach § 2 Absatz 1 notwendigen Nachweise und über die Urkunden für die Approbation nach § 1 Absatz 1, die Erlaubnis zur vorübergehenden Berufsausübung nach § 3 und die Erlaubnis zur partiellen Berufsausübung nach § 4 enthalten.</w:t>
      </w:r>
    </w:p>
    <w:p>
      <w:r>
        <w:t xml:space="preserve">(2) In der Rechtsverordnung ist darüber hinaus Folgendes zu regeln:</w:t>
      </w:r>
    </w:p>
    <w:p>
      <w:pPr>
        <w:ind w:left="420"/>
      </w:pPr>
      <w:r>
        <w:t xml:space="preserve">1. die Durchführung und der Inhalt der Kenntnisprüfung nach § 11 Absatz 4 Satz 2 sowie des Anpassungslehrgangs oder der Eignungsprüfung nach § 12 Absatz 3 Satz 1,</w:t>
      </w:r>
    </w:p>
    <w:p>
      <w:pPr>
        <w:ind w:left="420"/>
      </w:pPr>
      <w:r>
        <w:t xml:space="preserve">2. das Verfahren zur Erteilung und Verlängerung der Berufserlaubnis nach § 3,</w:t>
      </w:r>
    </w:p>
    <w:p>
      <w:pPr>
        <w:ind w:left="420"/>
      </w:pPr>
      <w:r>
        <w:t xml:space="preserve">3. das Verfahren zur Prüfung der Voraussetzungen des § 2 Absatz 1 Nummer 2 und 3 einschließlich der von der antragstellenden Person vorzulegenden Nachweise und die von der zuständigen Behörde entsprechend Artikel 50 Absatz 1, 2 und 3a in Verbindung mit Anhang VII der Richtlinie 2005/36/EG durchzuführenden Ermittlungen,</w:t>
      </w:r>
    </w:p>
    <w:p>
      <w:pPr>
        <w:ind w:left="420"/>
      </w:pPr>
      <w:r>
        <w:t xml:space="preserve">4. die Pflicht von Berufsqualifikationsinhabern, nach Maßgabe des Artikels 52 Absatz 1 der Richtlinie 2005/36/EG die Berufsbezeichnung des Aufnahmemitgliedstaates zu führen und deren etwaige Abkürzung zu verwenden,</w:t>
      </w:r>
    </w:p>
    <w:p>
      <w:pPr>
        <w:ind w:left="420"/>
      </w:pPr>
      <w:r>
        <w:t xml:space="preserve">5. die Fristen für die Erteilung der Approbation,</w:t>
      </w:r>
    </w:p>
    <w:p>
      <w:pPr>
        <w:ind w:left="420"/>
      </w:pPr>
      <w:r>
        <w:t xml:space="preserve">6. das Verfahren zur Prüfung der Voraussetzungen für die Erbringung von Dienstleistungen nach Abschnitt 4,</w:t>
      </w:r>
    </w:p>
    <w:p>
      <w:pPr>
        <w:ind w:left="420"/>
      </w:pPr>
      <w:r>
        <w:t xml:space="preserve">7. das Verfahren zur Ausstellung eines Europäischen Berufsausweises.</w:t>
      </w:r>
    </w:p>
    <w:p>
      <w:r>
        <w:t xml:space="preserve">(3) Abweichungen von den in den Absätzen 1 und 2 sowie von den in der auf Grund der Absätze 1 und 2 erlassenen Rechtsverordnung enthaltenen Regelungen des Verwaltungsverfahrensrechts durch Landesrecht sind ausgeschlossen. Abweichend von Satz 1 können die Länder Abweichungen von den durch Rechtsverordnung im Fall des § 81a des Aufenthaltsgesetzes erlassenen Fristenregelungen vorsehen.</w:t>
      </w:r>
    </w:p>
    <w:p>
      <w:r>
        <w:rPr>
          <w:color w:val="555555"/>
          <w:sz w:val="17"/>
        </w:rPr>
        <w:t xml:space="preserve">Zitiervorschlag: § 20 PsychThG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https://recht.nulegal.eu/gesetze/PsychThG%202020/20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