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PsychThG 2020 — Allgemeine Regelungen bei der Anerkennung von außerhalb des Geltungsbereichs des Gesetzes erworbenen Berufsqualifikationen</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Wird die Voraussetzung des § 2 Absatz 1 Nummer 1 auf eine Berufsqualifikation gestützt, die außerhalb des Geltungsbereichs dieses Gesetzes erworben worden ist, so soll bei der Entscheidung über die Erteilung der Approbation zunächst geprüft werden, ob diese Berufsqualifikation gleichwertig ist mit der Berufsqualifikation nach § 2 Absatz 1 Nummer 1. Erst nach Feststellung der Gleichwertigkeit sollen die Voraussetzungen nach § 2 Absatz 1 Nummer 2 bis 4 geprüft werden. Auf Antrag ist der antragstellenden Person ein gesonderter Bescheid über die Feststellung der Gleichwertigkeit ihrer Berufsqualifikation zu erteilen.</w:t>
      </w:r>
    </w:p>
    <w:p>
      <w:r>
        <w:t xml:space="preserve">(2) Die Erteilung einer Approbation als Psychotherapeutin oder Psychotherapeut ist ausgeschlossen, wenn antragstellende Personen nur über einen Ausbildungsnachweis verfügen, der dem in Artikel 11 Buchstabe a der Richtlinie 2005/36/EG genannten Niveau entspricht.</w:t>
      </w:r>
    </w:p>
    <w:p>
      <w:r>
        <w:t xml:space="preserve">(3) Das Berufsqualifikationsfeststellungsgesetz findet mit Ausnahme des § 17 des Berufsqualifikationsfeststellungsgesetzes bei der Anerkennung von Berufsqualifikationen nach diesem Gesetz keine Anwendung.</w:t>
      </w:r>
    </w:p>
    <w:p>
      <w:r>
        <w:t xml:space="preserve">(4) Die Länder können vereinbaren, dass die Aufgaben nach diesem Abschnitt von einem anderen Land oder einer gemeinsamen Einrichtung wahrgenommen werden.</w:t>
      </w:r>
    </w:p>
    <w:p>
      <w:r>
        <w:rPr>
          <w:color w:val="555555"/>
          <w:sz w:val="17"/>
        </w:rPr>
        <w:t xml:space="preserve">Zitiervorschlag: § 13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