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PsychThG 2020 — Anerkennung von Berufsqualifikationen aus Drittstaaten</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Eine außerhalb des Geltungsbereichs dieses Gesetzes und außerhalb eines Mitgliedstaates, eines anderen Vertragsstaates oder eines gleichgestellten Staates erworbene abgeschlossene Berufsqualifikation erfüllt die Voraussetzung des § 2 Absatz 1 Nummer 1, wenn</w:t>
      </w:r>
    </w:p>
    <w:p>
      <w:pPr>
        <w:ind w:left="420"/>
      </w:pPr>
      <w:r>
        <w:t xml:space="preserve">1. diese Berufsqualifikation in dem Staat, in dem sie erworben wurde, für den unmittelbaren Zugang zu einem dem Beruf der Psychotherapeutin und des Psychotherapeuten entsprechenden Beruf erforderlich ist und</w:t>
      </w:r>
    </w:p>
    <w:p>
      <w:pPr>
        <w:ind w:left="420"/>
      </w:pPr>
      <w:r>
        <w:t xml:space="preserve">2. die Gleichwertigkeit der erworbenen Berufsqualifikation mit der Berufsqualifikation einer Psychotherapeutin oder eines Psychotherapeuten gegeben ist.</w:t>
      </w:r>
    </w:p>
    <w:p>
      <w:r>
        <w:t xml:space="preserve">(2) Die erworbene Berufsqualifikation ist als gleichwertig anzusehen, wenn sie keine wesentlichen Unterschiede gegenüber der Berufsqualifikation aufweist, die in diesem Gesetz und in der auf Grund des § 20 erlassenen Rechtsverordnung geregelt ist. Wesentliche Unterschiede liegen vor, wenn</w:t>
      </w:r>
    </w:p>
    <w:p>
      <w:pPr>
        <w:ind w:left="420"/>
      </w:pPr>
      <w:r>
        <w:t xml:space="preserve">1. die von der antragstellenden Person erworbene Berufsqualifikation hinsichtlich der beruflichen Tätigkeit Bestandteile umfasst, die sich wesentlich von denen unterscheiden, die nach diesem Gesetz und der auf Grund des § 20 erlassenen Rechtsverordnung vorgeschrieben sind, oder</w:t>
      </w:r>
    </w:p>
    <w:p>
      <w:pPr>
        <w:ind w:left="420"/>
      </w:pPr>
      <w:r>
        <w:t xml:space="preserve">2. in dem Staat, in dem die antragstellende Person ihre Berufsqualifikation erworben hat, eine oder mehrere Tätigkeiten des in diesem Gesetz oder in der auf Grund des § 20 erlassenen Rechtsverordnung geregelten Berufs der Psychotherapeutin oder des Psychotherapeuten nicht Bestandteil der Tätigkeit des Berufs ist oder sind, der dem der Psychotherapeutin oder des Psychotherapeuten entspricht, und wenn sich dadurch die von der antragstellenden Person erworbene Berufsqualifikation oder einzelne Bestandteile ihrer Berufsqualifikation wesentlich von der Berufsqualifikation nach diesem Gesetz und nach der auf Grund des § 20 erlassenen Rechtsverordnung unterscheiden.</w:t>
      </w:r>
    </w:p>
    <w:p>
      <w:r>
        <w:t xml:space="preserve">Einzelne Bestandteile unterscheiden sich wesentlich, wenn die von der antragstellenden Person erworbene Berufsqualifikation wesentliche Abweichungen hinsichtlich der Art und Weise der Ausbildungsvermittlung oder wesentliche inhaltliche Abweichungen hinsichtlich der Kenntnisse und Fähigkeiten aufweist, die eine wesentliche Voraussetzung für die Ausübung des Berufs der Psychotherapeutin oder des Psychotherapeuten in Deutschland sind.</w:t>
      </w:r>
    </w:p>
    <w:p>
      <w:r>
        <w:t xml:space="preserve">(3) Wesentliche Unterschiede nach Absatz 2 Satz 2 können ganz oder teilweise durch Kenntnisse und Fähigkeiten ausgeglichen werden, die die antragstellende Person im Rahmen ihrer tatsächlichen und rechtmäßigen Ausübung des Berufs, der dem der Psychotherapeutin oder des Psychotherapeuten entspricht, in Voll- oder Teilzeit oder durch lebenslanges Lernen erworben hat. Die Anerkennung von Kenntnissen und Fähigkeiten, die durch lebenslanges Lernen erworben wurden, setzt voraus, dass sie von einer dafür in dem jeweiligen Staat zuständigen Stelle formell als gültig anerkannt wurden. Es ist nicht entscheidend, in welchem Staat die jeweiligen Kenntnisse und Fähigkeiten erworben worden sind.</w:t>
      </w:r>
    </w:p>
    <w:p>
      <w:r>
        <w:t xml:space="preserve">(4) Ist die Gleichwertigkeit der erworbenen Berufsqualifikation nicht gegeben oder kann sie nur mit unangemessenem zeitlichen oder sachlichen Aufwand festgestellt werden, weil die erforderlichen Unterlagen oder Nachweise aus Gründen, die die antragstellende Person nicht zu vertreten hat, von dieser nicht vorgelegt werden können, ist ein gleichwertiger Kenntnisstand nachzuweisen. Dieser Nachweis wird durch eine Kenntnisprüfung erbracht, die sich auf den Inhalt der psychotherapeutischen Prüfung nach § 10 Absatz 1 erstreckt.</w:t>
      </w:r>
    </w:p>
    <w:p>
      <w:r>
        <w:rPr>
          <w:color w:val="555555"/>
          <w:sz w:val="17"/>
        </w:rPr>
        <w:t xml:space="preserve">Zitiervorschlag: § 11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https://recht.nulegal.eu/gesetze/PsychThG%202020/11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