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PsychThApprO — Hochschulische Lehre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Hochschulen müssen den studierenden Personen im Rahmen der hochschulischen Lehre mindestens den Erwerb folgender Inhalte ermöglichen:</w:t>
      </w:r>
    </w:p>
    <w:p>
      <w:pPr>
        <w:ind w:left="420"/>
      </w:pPr>
      <w:r>
        <w:t xml:space="preserve">1. im Bachelorstudiengang den Erwerb der in der Anlage 1 festgelegten Inhalte mit den diesen Inhalten jeweils zugeordneten ECTS-Punkten und Wissensbereichen, und</w:t>
      </w:r>
    </w:p>
    <w:p>
      <w:pPr>
        <w:ind w:left="420"/>
      </w:pPr>
      <w:r>
        <w:t xml:space="preserve">2. im Masterstudiengang den Erwerb der in der Anlage 2 festgelegten Inhalte einschließlich der berufsqualifizierenden Tätigkeit II – vertiefte Praxis der Psychotherapie mit den diesen Inhalten jeweils zugeordneten ECTS-Punkten und Wissensbereichen.</w:t>
      </w:r>
    </w:p>
    <w:p>
      <w:r>
        <w:rPr>
          <w:color w:val="555555"/>
          <w:sz w:val="17"/>
        </w:rPr>
        <w:t xml:space="preserve">Zitiervorschlag: § 8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