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PsychThApprO — Fristen</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Beantragt eine Person, die über eine im Ausland erworbene Berufsqualifikation verfügt, eine Erlaubnis zur vorübergehenden Berufsausübung, so bestätigt die nach § 22 Absatz 3 des Psychotherapeutengesetzes zuständige Behörde innerhalb eines Monats nach Eingang des Antrags den Antragseingang und teilt der antragstellenden Person gegebenenfalls mit, welche Unterlagen fehlen, die für die Erteilung der Erlaubnis zur vorübergehenden Berufsausübung nach § 3 des Psychotherapeutengesetzes erforderlich sind.</w:t>
      </w:r>
    </w:p>
    <w:p>
      <w:r>
        <w:t xml:space="preserve">(2) Die nach § 22 Absatz 2 des Psychotherapeutengesetzes zuständige Behörde entscheidet über den Antrag auf Erlaubnis zur vorübergehenden Berufsausübung nach Satz 1 kurzfristig, spätestens jedoch vier Monate nach Vorlage der vollständigen Unterlagen durch die antragstellende Person.</w:t>
      </w:r>
    </w:p>
    <w:p>
      <w:r>
        <w:rPr>
          <w:color w:val="555555"/>
          <w:sz w:val="17"/>
        </w:rPr>
        <w:t xml:space="preserve">Zitiervorschlag: § 77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