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PsychThApprO — Gegenstand der Eignungsprüfung</w:t>
      </w:r>
    </w:p>
    <w:p>
      <w:r>
        <w:rPr>
          <w:color w:val="555555"/>
          <w:sz w:val="18"/>
        </w:rPr>
        <w:t xml:space="preserve">Approbationsordnung für Psychotherapeutinnen und Psychotherapeuten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(1) In der Eignungsprüfung hat die antragstellende Person nachzuweisen, dass sie über die Kenntnisse und Fähigkeiten verfügt, die zum Ausgleich der von der nach § 22 Absatz 2 des Psychotherapeutengesetzes zuständigen Behörde festgestellten wesentlichen Unterschiede erforderlich sind.</w:t>
      </w:r>
    </w:p>
    <w:p>
      <w:r>
        <w:t xml:space="preserve">(2) Die Eignungsprüfung ist eine mündlich-praktische Fallprüfung.</w:t>
      </w:r>
    </w:p>
    <w:p>
      <w:r>
        <w:t xml:space="preserve">(3) Gegenstand der Eignungsprüfung ist eine von der nach § 20 zuständigen Stelle anonymisierte Patientenanamnese aus den von der Hochschule nach § 38 Absatz 2 eingereichten Patientenanamnesen.</w:t>
      </w:r>
    </w:p>
    <w:p>
      <w:r>
        <w:t xml:space="preserve">(4) In der Eignungsprüfung sind der antragstellenden Person Fragen folgender Art zu stellen:</w:t>
      </w:r>
    </w:p>
    <w:p>
      <w:pPr>
        <w:ind w:left="420"/>
      </w:pPr>
      <w:r>
        <w:t xml:space="preserve">1. fallspezifische Fragen zu der Patientenanamnese und</w:t>
      </w:r>
    </w:p>
    <w:p>
      <w:pPr>
        <w:ind w:left="420"/>
      </w:pPr>
      <w:r>
        <w:t xml:space="preserve">2. fallübergreifende Fragen zu den therapeutischen Kompetenzen.</w:t>
      </w:r>
    </w:p>
    <w:p>
      <w:r>
        <w:rPr>
          <w:color w:val="555555"/>
          <w:sz w:val="17"/>
        </w:rPr>
        <w:t xml:space="preserve">Zitiervorschlag: § 68 PsychThApprO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https://recht.nulegal.eu/gesetze/PsychThApprO/68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