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PsychThApprO — Anpassungslehrgang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Der Anpassungslehrgang nach § 12 Absatz 3 Satz 1 des Psychotherapeutengesetzes (Anpassungslehrgang) ist eine praktische Tätigkeit, die in einem der folgenden Versorgungsbereiche auszuüben ist:</w:t>
      </w:r>
    </w:p>
    <w:p>
      <w:pPr>
        <w:ind w:left="420"/>
      </w:pPr>
      <w:r>
        <w:t xml:space="preserve">1. in einer stationären Einrichtung der psychotherapeutischen Versorgung,</w:t>
      </w:r>
    </w:p>
    <w:p>
      <w:pPr>
        <w:ind w:left="420"/>
      </w:pPr>
      <w:r>
        <w:t xml:space="preserve">2. in einer stationären Einrichtung der psychiatrischen Versorgung,</w:t>
      </w:r>
    </w:p>
    <w:p>
      <w:pPr>
        <w:ind w:left="420"/>
      </w:pPr>
      <w:r>
        <w:t xml:space="preserve">3. in einer stationären Einrichtung der psychosomatischen Versorgung,</w:t>
      </w:r>
    </w:p>
    <w:p>
      <w:pPr>
        <w:ind w:left="420"/>
      </w:pPr>
      <w:r>
        <w:t xml:space="preserve">4. in einer stationären Einrichtung der neuropsychologischen Versorgung oder</w:t>
      </w:r>
    </w:p>
    <w:p>
      <w:pPr>
        <w:ind w:left="420"/>
      </w:pPr>
      <w:r>
        <w:t xml:space="preserve">5. in einer psychotherapeutischen Hochschulambulanz.</w:t>
      </w:r>
    </w:p>
    <w:p>
      <w:r>
        <w:t xml:space="preserve">(2) Lehrgangsziel des Anpassungslehrgangs ist es, dass die antragstellende Person die hinsichtlich der Gleichwertigkeit ihrer Berufsqualifikation festgestellten wesentlichen Unterschiede ausgleicht.</w:t>
      </w:r>
    </w:p>
    <w:p>
      <w:r>
        <w:t xml:space="preserve">(3) Dauer und Inhalt des Anpassungslehrgangs werden von der nach § 22 Absatz 2 des Psychotherapeutengesetzes zuständigen Behörde individuell so festgelegt, dass das Lehrgangsziel erreicht werden kann.</w:t>
      </w:r>
    </w:p>
    <w:p>
      <w:r>
        <w:t xml:space="preserve">(4) Die nach § 22 Absatz 2 des Psychotherapeutengesetzes zuständige Behörde legt zudem fest, in welchem Versorgungsbereich der Anpassungslehrgang durchgeführt wird. Auch hierbei berücksichtigt sie die wesentlichen Unterschiede, die bei der antragstellenden Person festgestellt worden sind.</w:t>
      </w:r>
    </w:p>
    <w:p>
      <w:r>
        <w:rPr>
          <w:color w:val="555555"/>
          <w:sz w:val="17"/>
        </w:rPr>
        <w:t xml:space="preserve">Zitiervorschlag: § 66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