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PsychThApprO — Vorlage von Unterlagen, Bescheinigungen oder sonstigen Nachweisen</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Wird in dieser Verordnung die Vorlage von Unterlagen, Bescheinigungen oder sonstigen Nachweisen gefordert, so können sie im Original oder in beglaubigter Kopie vorgelegt werden.</w:t>
      </w:r>
    </w:p>
    <w:p>
      <w:r>
        <w:t xml:space="preserve">(2) Die geforderten Nachweise können der nach § 22 des Psychotherapeutengesetzes jeweils zuständigen Behörde auch elektronisch übermittelt werden, sofern in dieser Verordnung nicht etwas Abweichendes geregelt ist.</w:t>
      </w:r>
    </w:p>
    <w:p>
      <w:r>
        <w:t xml:space="preserve">(3) Hat die nach § 22 des Psychotherapeutengesetzes jeweils zuständige Behörde begründete Zweifel an der Authentizität eines elektronisch übermittelten Nachweises, so kann sie, soweit sie es für erforderlich erachtet, die Übermittlung des Originals oder einer beglaubigten Kopie verlangen.</w:t>
      </w:r>
    </w:p>
    <w:p>
      <w:r>
        <w:rPr>
          <w:color w:val="555555"/>
          <w:sz w:val="17"/>
        </w:rPr>
        <w:t xml:space="preserve">Zitiervorschlag: § 58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