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55 PsychThApprO — Übermittlung der Ergebnisse</w:t>
      </w:r>
    </w:p>
    <w:p>
      <w:r>
        <w:rPr>
          <w:color w:val="555555"/>
          <w:sz w:val="18"/>
        </w:rPr>
        <w:t xml:space="preserve">Approbationsordnung für Psychotherapeutinnen und Psychotherapeuten</w:t>
      </w:r>
    </w:p>
    <w:p>
      <w:r>
        <w:rPr>
          <w:color w:val="555555"/>
          <w:sz w:val="18"/>
        </w:rPr>
        <w:t xml:space="preserve">Stand: 01.11.2024 (konsolidierte Textfassung, kein amtliches Inkrafttretensdatum)</w:t>
      </w:r>
    </w:p>
    <w:p>
      <w:r>
        <w:t xml:space="preserve">(1) Die oder der Vorsitzende der anwendungsorientierten Parcoursprüfung übermittelt der nach § 20 zuständigen Stelle die Ergebnisse aus der jeweiligen anwendungsorientierten Parcoursprüfung innerhalb von zwei Werktagen nach deren Abschluss.</w:t>
      </w:r>
    </w:p>
    <w:p>
      <w:r>
        <w:t xml:space="preserve">(2) Für jede Prüfungskandidatin oder jeden Prüfungskandidaten hat die oder der Vorsitzende Folgendes gesondert anzugeben:</w:t>
      </w:r>
    </w:p>
    <w:p>
      <w:pPr>
        <w:ind w:left="420"/>
      </w:pPr>
      <w:r>
        <w:t xml:space="preserve">1. die Punktzahl, die die Prüfungskandidatin oder der Prüfungskandidat in jedem einzelnen Kompetenzbereich erreicht hat,</w:t>
      </w:r>
    </w:p>
    <w:p>
      <w:pPr>
        <w:ind w:left="420"/>
      </w:pPr>
      <w:r>
        <w:t xml:space="preserve">2. die Gesamtpunktzahl, die die Prüfungskandidatin oder der Prüfungskandidat in der anwendungsorientierten Parcoursprüfung insgesamt erreicht hat.</w:t>
      </w:r>
    </w:p>
    <w:p>
      <w:r>
        <w:rPr>
          <w:color w:val="555555"/>
          <w:sz w:val="17"/>
        </w:rPr>
        <w:t xml:space="preserve">Zitiervorschlag: § 55 PsychThApprO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https://recht.nulegal.eu/gesetze/PsychThApprO/55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