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PsychThApprO — Prüfungsordnungen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Die Hochschule legt in einer Prüfungsordnung für den Bachelorstudiengang und in einer Prüfungsordnung für den Masterstudiengang fest, an welchen Modulen die studierende Person in dem jeweiligen Studiengang erfolgreich teilzunehmen hat.</w:t>
      </w:r>
    </w:p>
    <w:p>
      <w:r>
        <w:t xml:space="preserve">(2) Für Module, die Bestandteil der hochschulischen Lehre nach Anlage 1 oder nach Anlage 2 sind, ist in der jeweiligen Prüfungsordnung zusätzlich die Anwesenheit der studierenden Personen bei Veranstaltungen der hochschulischen Lehre vorzusehen, soweit in diesen Modulen praktische Kompetenzen erworben werden sollen.</w:t>
      </w:r>
    </w:p>
    <w:p>
      <w:r>
        <w:t xml:space="preserve">(3) In den Prüfungsordnungen sind die Anforderungen an die erfolgreiche Teilnahme und an die Anwesenheit der studierenden Personen näher zu regeln.</w:t>
      </w:r>
    </w:p>
    <w:p>
      <w:r>
        <w:t xml:space="preserve">(4) Die Studiengänge sind Gegenstand des jeweiligen Akkreditierungsverfahrens. Die nach § 22 Absatz 5 des Psychotherapeutengesetzes zuständige Stelle prüft im Rahmen ihrer Mitwirkung am Verfahren der Akkreditierung des Bachelorstudiengangs nach § 9 Absatz 4 Satz 3 des Psychotherapeutengesetzes sowie im Rahmen ihrer Entscheidung nach § 9 Absatz 4 Satz 4 des Psychotherapeutengesetzes, ob die von der Hochschule in Studien-und Prüfungsordnungen nebst den Modulhandbüchern festgeschriebenen Ziele und Inhalte des jeweiligen Studiengangs gewährleisten, dass das Ziel des Studiums nach § 7 des Psychotherapeutengesetzes erreicht wird.</w:t>
      </w:r>
    </w:p>
    <w:p>
      <w:r>
        <w:rPr>
          <w:color w:val="555555"/>
          <w:sz w:val="17"/>
        </w:rPr>
        <w:t xml:space="preserve">Zitiervorschlag: § 5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