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PsychThApprO — Stationen und Kompetenzbereiche</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Der Parcours der anwendungsorientierten Parcoursprüfung besteht aus zwei Stationen. Gegenstand der Stationen sind die Kompetenzbereiche:</w:t>
      </w:r>
    </w:p>
    <w:p>
      <w:pPr>
        <w:ind w:left="420"/>
      </w:pPr>
      <w:r>
        <w:t xml:space="preserve">1. Patientensicherheit,</w:t>
      </w:r>
    </w:p>
    <w:p>
      <w:pPr>
        <w:ind w:left="420"/>
      </w:pPr>
      <w:r>
        <w:t xml:space="preserve">2. Diagnostik,</w:t>
      </w:r>
    </w:p>
    <w:p>
      <w:pPr>
        <w:ind w:left="420"/>
      </w:pPr>
      <w:r>
        <w:t xml:space="preserve">3. Patienteninformation und Patientenaufklärung,</w:t>
      </w:r>
    </w:p>
    <w:p>
      <w:pPr>
        <w:ind w:left="420"/>
      </w:pPr>
      <w:r>
        <w:t xml:space="preserve">4. leitlinienorientierte Behandlungsempfehlungen,</w:t>
      </w:r>
    </w:p>
    <w:p>
      <w:pPr>
        <w:ind w:left="420"/>
      </w:pPr>
      <w:r>
        <w:t xml:space="preserve">5. therapeutische Beziehungsgestaltung.</w:t>
      </w:r>
    </w:p>
    <w:p>
      <w:r>
        <w:t xml:space="preserve">In jeder Station werden jeweils zwei der in Satz 2 Nummer 1 bis 4 genannten Kompetenzbereiche zusammengefasst geprüft. Der Kompetenzbereich therapeutische Beziehungsgestaltung wird in beiden Stationen geprüft. In einem Parcours müssen alle der in Satz 2 genannten Kompetenzbereiche geprüft werden.</w:t>
      </w:r>
    </w:p>
    <w:p>
      <w:r>
        <w:t xml:space="preserve">(2) Im Kompetenzbereich Patientensicherheit hat die Prüfungskandidatin oder der Prüfungskandidat zu zeigen, dass sie oder er zu einer umfassenden Risikoeinschätzung in der Lage ist.</w:t>
      </w:r>
    </w:p>
    <w:p>
      <w:r>
        <w:t xml:space="preserve">(3) Im Kompetenzbereich Diagnostik hat die Prüfungskandidatin oder der Prüfungskandidat zu zeigen, dass sie oder er eine zutreffende psychotherapeutische Diagnose stellt.</w:t>
      </w:r>
    </w:p>
    <w:p>
      <w:r>
        <w:t xml:space="preserve">(4) Im Kompetenzbereich Patienteninformation und Patientenaufklärung hat die Prüfungskandidatin oder der Prüfungskandidat zu zeigen, dass sie oder er durch angemessene Patienteninformation zu einer selbstbestimmten Patientenentscheidung beiträgt.</w:t>
      </w:r>
    </w:p>
    <w:p>
      <w:r>
        <w:t xml:space="preserve">(5) Im Kompetenzbereich leitlinienorientierte Behandlungsempfehlungen hat die Prüfungskandidatin oder der Prüfungskandidat zu zeigen, dass sie oder er die Patientinnen und Patienten angemessen und diagnosebezogen über empfohlene Behandlungsmöglichkeiten informiert und auch solche Behandlungsmöglichkeiten einbezieht, die außerhalb des eigenen Spezialisierungsbereichs liegen.</w:t>
      </w:r>
    </w:p>
    <w:p>
      <w:r>
        <w:t xml:space="preserve">(6) Im Kompetenzbereich therapeutische Beziehungsgestaltung hat die Prüfungskandidatin oder der Prüfungskandidat zu zeigen, dass sie oder er Probleme in der therapeutischen Beziehungsgestaltung erkennt und diesen Problemen in geeigneter Form begegnet.</w:t>
      </w:r>
    </w:p>
    <w:p>
      <w:r>
        <w:t xml:space="preserve">(7) Jede Prüfungskandidatin und jeder Prüfungskandidat durchläuft die Stationen des Parcours in der Abfolge, die für sie oder ihn durch die nach § 20 zuständige Stelle festgelegt ist.</w:t>
      </w:r>
    </w:p>
    <w:p>
      <w:r>
        <w:rPr>
          <w:color w:val="555555"/>
          <w:sz w:val="17"/>
        </w:rPr>
        <w:t xml:space="preserve">Zitiervorschlag: § 48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