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PsychThApprO — Regelstudienzeit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Regelstudienzeit nach § 10 Absatz 2 des Hochschulrahmengesetzes beträgt</w:t>
      </w:r>
    </w:p>
    <w:p>
      <w:pPr>
        <w:ind w:left="420"/>
      </w:pPr>
      <w:r>
        <w:t xml:space="preserve">1. für den Bachelorstudiengang drei Jahre und</w:t>
      </w:r>
    </w:p>
    <w:p>
      <w:pPr>
        <w:ind w:left="420"/>
      </w:pPr>
      <w:r>
        <w:t xml:space="preserve">2. für den Masterstudiengang zwei Jahre.</w:t>
      </w:r>
    </w:p>
    <w:p>
      <w:r>
        <w:rPr>
          <w:color w:val="555555"/>
          <w:sz w:val="17"/>
        </w:rPr>
        <w:t xml:space="preserve">Zitiervorschlag: § 2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