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PsychThApprO — Berufspraktische Einsätze im Masterstudiengang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Hochschulen müssen den studierenden Personen im Masterstudiengang mindestens folgende berufspraktische Einsätze ermöglichen:</w:t>
      </w:r>
    </w:p>
    <w:p>
      <w:pPr>
        <w:ind w:left="420"/>
      </w:pPr>
      <w:r>
        <w:t xml:space="preserve">1. ein forschungsorientiertes Praktikum II – Psychotherapieforschung nach § 17 und</w:t>
      </w:r>
    </w:p>
    <w:p>
      <w:pPr>
        <w:ind w:left="420"/>
      </w:pPr>
      <w:r>
        <w:t xml:space="preserve">2. die berufsqualifizierende Tätigkeit III – angewandte Praxis der Psychotherapie nach § 18.</w:t>
      </w:r>
    </w:p>
    <w:p>
      <w:r>
        <w:t xml:space="preserve">(2) Im Rahmen der berufspraktischen Einsätze dürfen die studierenden Personen nur zu Tätigkeiten herangezogen werden, die zum Erreichen der jeweils zu erwerbenden Inhalte erforderlich sind.</w:t>
      </w:r>
    </w:p>
    <w:p>
      <w:r>
        <w:rPr>
          <w:color w:val="555555"/>
          <w:sz w:val="17"/>
        </w:rPr>
        <w:t xml:space="preserve">Zitiervorschlag: § 16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