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20d PsychTh-APrV — Sonderregelungen für eine befristete Erlaubnis nach § 4 Absatz 1 Satz 4 des Psychotherapeutengesetzes</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In Fällen des § 4 Absatz 1 Satz 4 des Psychotherapeutengesetzes ist dem Antrag auf Erteilung einer befristeten Erlaubnis zur Berufsausübung nach § 4 Absatz 1 Satz 1 des Psychotherapeutengesetzes ergänzend zu den in § 20c Absatz 1 Satz 2 Nummer 3 genannten Unterlagen eine Erklärung beizufügen, aus der sich ergibt, wo und in welcher Weise die Antragsteller den Beruf des Psychologischen Psychotherapeuten in Deutschland ausüben wollen und inwiefern sich hieraus ein besonderes Interesse an der Erteilung der Erlaubnis ergibt.</w:t>
      </w:r>
    </w:p>
    <w:p>
      <w:r>
        <w:t xml:space="preserve">(2) Ein besonderes Interesse im Sinne des § 4 Absatz 1 Satz 4 des Psychotherapeutengesetzes liegt insbesondere vor, wenn die Antragsteller</w:t>
      </w:r>
    </w:p>
    <w:p>
      <w:pPr>
        <w:ind w:left="420"/>
      </w:pPr>
      <w:r>
        <w:t xml:space="preserve">1. die Voraussetzungen nach § 2 Absatz 1 oder 2 des Psychotherapeutengesetzes erfüllen und § 9a des Psychotherapeutengesetzes nicht angewendet werden kann oder</w:t>
      </w:r>
    </w:p>
    <w:p>
      <w:pPr>
        <w:ind w:left="420"/>
      </w:pPr>
      <w:r>
        <w:t xml:space="preserve">2. die nach Absatz 1 angestrebte Tätigkeit ausüben können, obwohl sie die Voraussetzungen nach § 2 Absatz 1 Satz 1 Nummer 4 oder Nummer 5 des Psychotherapeutengesetzes nicht erfüllen.</w:t>
      </w:r>
    </w:p>
    <w:p>
      <w:r>
        <w:t xml:space="preserve">(3) Erfüllen die Antragsteller nicht die Voraussetzung des § 2 Absatz 1 Nummer 2 des Psychotherapeutengesetzes, gilt § 20c Absatz 3 entsprechend.</w:t>
      </w:r>
    </w:p>
    <w:p>
      <w:r>
        <w:t xml:space="preserve">(4) Die zuständige Behörde versieht die Erlaubnis mit den Einschränkungen und Nebenbestimmungen, die erforderlich sind, um unter Berücksichtigung des nach Absatz 3 bewerteten Ausbildungsstandes der Antragsteller, ihrer Kenntnisse der deutschen Sprache und ihrer gesundheitlichen Eignung eine Gefährdung der öffentlichen Gesundheit auszuschließen. § 20c Absatz 2, 4 Satz 2 und 3, Absatz 5, 6 und 7 gilt entsprechend.</w:t>
      </w:r>
    </w:p>
    <w:p>
      <w:r>
        <w:rPr>
          <w:color w:val="555555"/>
          <w:sz w:val="17"/>
        </w:rPr>
        <w:t xml:space="preserve">Zitiervorschlag: § 20d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https://recht.nulegal.eu/gesetze/PsychTh-APrV/20d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