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PsychTh-APrV — Anerkennungsregelungen für Ausbildungsnachweise aus einem Drittstaat</w:t>
      </w:r>
    </w:p>
    <w:p>
      <w:r>
        <w:rPr>
          <w:color w:val="555555"/>
          <w:sz w:val="18"/>
        </w:rPr>
        <w:t xml:space="preserve">Ausbildungs- und Prüfungsverordnung für Psychologische Psychotherapeuten</w:t>
      </w:r>
    </w:p>
    <w:p>
      <w:r>
        <w:rPr>
          <w:color w:val="555555"/>
          <w:sz w:val="18"/>
        </w:rPr>
        <w:t xml:space="preserve">Historische Fassung: Stand 10.06.2019 bis 01.09.2020. Dies ist nicht die aktuelle Fassung.</w:t>
      </w:r>
    </w:p>
    <w:p>
      <w:r>
        <w:t xml:space="preserve">(1) Antragsteller, die über einen Ausbildungsnachweis verfügen, der in einem Drittstaat erworben worden ist, und eine Approbation als Psychologische Psychotherapeutin oder als Psychologischer Psychotherapeut nach § 1 Absatz 1 Satz 1 des Psychotherapeutengesetzes beantragen, können zum Ausgleich von wesentlichen Unterschieden, die von der zuständigen Behörde im Rahmen der Prüfung ihres Antrags auf Erteilung der Approbation festgestellt worden sind und nicht durch Kenntnisse und Fähigkeiten ausgeglichen werden konnten, die die Antragsteller im Rahmen ihrer Berufspraxis nachweisbar erworben haben, eine Kenntnisprüfung nach Absatz 2 ablegen. Satz 1 gilt entsprechend für Fälle nach § 2 Absatz 3 Satz 4 des Psychotherapeutengesetzes.</w:t>
      </w:r>
    </w:p>
    <w:p>
      <w:r>
        <w:t xml:space="preserve">(2) Bei der Kenntnisprüfung haben die Antragsteller nachzuweisen, dass sie über die zur Ausübung des Berufs des Psychologischen Psychotherapeuten erforderlichen Kenntnisse und Fähigkeiten verfügen. Die Kenntnisprüfung besteht aus einer mündlichen Prüfung, die in zwei Abschnitten durchgeführt wird. Sie ist erfolgreich abgeschlossen, wenn jeder der beiden Abschnitte der mündlichen Prüfung bestanden ist.</w:t>
      </w:r>
    </w:p>
    <w:p>
      <w:r>
        <w:t xml:space="preserve">(3) Der erste Abschnitt der mündlichen Prüfung erstreckt sich auf folgende Fächergruppen der Anlage 1 Buchstabe A und B:</w:t>
      </w:r>
    </w:p>
    <w:p>
      <w:pPr>
        <w:ind w:left="420"/>
      </w:pPr>
      <w:r>
        <w:t xml:space="preserve">1. Diagnostik, Differentialdiagnostik einschließlich Testverfahren zur Abgrenzung verschiedener Störungen mit Krankheitswert, bei denen Psychotherapie indiziert ist, psychosozial- und entwicklungsbedingter Krisen sowie körperlich begründbarer Störungen; medizinische und pharmakologische Grundkenntnisse für Psychotherapeuten; Methoden und differentielle Indikationsstellung wissenschaftlich anerkannter psychotherapeutischer Verfahren; Berufsethik und Berufsrecht, medizinische und psychosoziale Versorgungssysteme, Organisationsstrukturen des Arbeitsfeldes, Kooperation mit Ärzten und anderen Berufsgruppen,</w:t>
      </w:r>
    </w:p>
    <w:p>
      <w:pPr>
        <w:ind w:left="420"/>
      </w:pPr>
      <w:r>
        <w:t xml:space="preserve">2. Theorie und Praxis der Diagnostik, insbesondere Anamnese, Indikationsstellung und Prognose, Fallkonzeptualisierung und Behandlungsplanung; Rahmenbedingungen der Psychotherapie, Behandlungssetting, Einleitung und Beendigung der Behandlung; Behandlungskonzepte und -techniken sowie deren Anwendung.</w:t>
      </w:r>
    </w:p>
    <w:p>
      <w:r>
        <w:t xml:space="preserve">Der erste Abschnitt der mündlichen Prüfung soll für den einzelnen Prüfling mindestens 30 und nicht länger als 60 Minuten dauern. Er wird von zwei Prüfern, die die Voraussetzungen nach § 9 Absatz 1 erfüllen, abgenommen und bewertet. Er ist erfolgreich abgeschlossen, wenn die Prüfer in einer Gesamtbetrachtung jede der Fächergruppen nach Satz 1 Nummer 1 und 2 übereinstimmend mit „bestanden“ bewerten. § 20 Absatz 3 Satz 8 gilt entsprechend. Kommen die Prüfer zu einer unterschiedlichen Bewertung, entscheidet der Vorsitzende der Prüfungskommission nach Rücksprache mit den Prüfern über das Bestehen.</w:t>
      </w:r>
    </w:p>
    <w:p>
      <w:r>
        <w:t xml:space="preserve">(4) Für den zweiten Abschnitt der mündlichen Prüfung gilt § 20 Absatz 3 entsprechend.</w:t>
      </w:r>
    </w:p>
    <w:p>
      <w:r>
        <w:t xml:space="preserve">(5) Die Kenntnisprüfung soll mindestens zweimal jährlich angeboten werden und darf in jeder Fächergruppe des ersten Abschnitts der mündlichen Prüfung, die nicht bestanden wurde, sowie im zweiten Abschnitt der mündlichen Prüfung zweimal wiederholt werden.</w:t>
      </w:r>
    </w:p>
    <w:p>
      <w:r>
        <w:t xml:space="preserve">(6) Über die bestandene Kenntnisprüfung wird eine Bescheinigung nach dem Muster der Anlage 7 erteilt.</w:t>
      </w:r>
    </w:p>
    <w:p>
      <w:r>
        <w:rPr>
          <w:color w:val="555555"/>
          <w:sz w:val="17"/>
        </w:rPr>
        <w:t xml:space="preserve">Zitiervorschlag: § 20a PsychTh-APrV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https://recht.nulegal.eu/gesetze/PsychTh-APrV/20a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