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PsychPbG — Erlöschen des Anspruchs</w:t>
      </w:r>
    </w:p>
    <w:p>
      <w:r>
        <w:rPr>
          <w:color w:val="555555"/>
          <w:sz w:val="18"/>
        </w:rPr>
        <w:t xml:space="preserve">Gesetz über die psychosoziale Prozessbegleitung im Strafverfahren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Vergütungsanspruch erlischt, wenn er nicht binnen 15 Monaten nach Einstellung oder rechtskräftigem Abschluss des Verfahrens bei dem für die Festsetzung der Vergütung zuständigen Gericht geltend gemacht wird.</w:t>
      </w:r>
    </w:p>
    <w:p>
      <w:r>
        <w:rPr>
          <w:color w:val="555555"/>
          <w:sz w:val="17"/>
        </w:rPr>
        <w:t xml:space="preserve">Zitiervorschlag: § 9 PsychPbG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https://recht.nulegal.eu/gesetze/PsychPbG/9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