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PsychPbG — Anwendung des Rechtsanwaltsvergütungsgesetzes</w:t>
      </w:r>
    </w:p>
    <w:p>
      <w:r>
        <w:rPr>
          <w:color w:val="555555"/>
          <w:sz w:val="18"/>
        </w:rPr>
        <w:t xml:space="preserve">Gesetz über die psychosoziale Prozessbegleitung im Strafverfahren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den Umfang und die Fälligkeit des Vergütungsanspruchs sowie auf die Festsetzung der Vergütungen und Vorschüsse einschließlich der Rechtsbehelfe sind § 8 Absatz 1, § 47 Absatz 1 Satz 1, § 48 Absatz 1, die §§ 54, 55 Absatz 1, § 56 Absatz 1 Satz 1 und Absatz 2 des Rechtsanwaltsvergütungsgesetzes entsprechend anzuwenden.</w:t>
      </w:r>
    </w:p>
    <w:p>
      <w:r>
        <w:rPr>
          <w:color w:val="555555"/>
          <w:sz w:val="17"/>
        </w:rPr>
        <w:t xml:space="preserve">Zitiervorschlag: § 8 PsychPbG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https://recht.nulegal.eu/gesetze/PsychPbG/8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