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PsychPbG — Anerkennung und weitere Anforderungen</w:t>
      </w:r>
    </w:p>
    <w:p>
      <w:r>
        <w:rPr>
          <w:color w:val="555555"/>
          <w:sz w:val="18"/>
        </w:rPr>
        <w:t xml:space="preserve">Gesetz über die psychosoziale Prozessbegleitung im Strafverfahren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Länder bestimmen, welche Personen und Stellen für die psychosoziale Prozessbegleitung anerkannt werden, welche weiteren Anforderungen hierfür an Berufsausbildung, praktische Berufserfahrung, spezialisierte Weiterbildung und regelmäßige Fortbildungen zu stellen sind.</w:t>
      </w:r>
    </w:p>
    <w:p>
      <w:r>
        <w:rPr>
          <w:color w:val="555555"/>
          <w:sz w:val="17"/>
        </w:rPr>
        <w:t xml:space="preserve">Zitiervorschlag: § 4 PsychPbG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https://recht.nulegal.eu/gesetze/PsychPbG/4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