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Psych-PV — Leitungskräfte</w:t>
      </w:r>
    </w:p>
    <w:p>
      <w:r>
        <w:rPr>
          <w:color w:val="555555"/>
          <w:sz w:val="18"/>
        </w:rPr>
        <w:t xml:space="preserve">Psychiatrie-Personalverordnung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Die Personalbemessung für leitende Ärzte richtet sich nach der Zahl der nach § 6 ermittelten und von den Vertragsparteien vereinbarten Stellen für Ärzte und Diplom-Psychologen; diese sind im Verhältnis 8 zu 1 in ganze oder anteilige Stellen für leitende Ärzte umzurechnen.</w:t>
      </w:r>
    </w:p>
    <w:p>
      <w:r>
        <w:t xml:space="preserve">(2) Die Zahl der leitenden Krankenpflegekräfte entspricht der errechneten Zahl der leitenden Ärzte nach Absatz 1.</w:t>
      </w:r>
    </w:p>
    <w:p>
      <w:r>
        <w:t xml:space="preserve">(3) § 3 Abs. 4 gilt entsprechend.</w:t>
      </w:r>
    </w:p>
    <w:p>
      <w:r>
        <w:rPr>
          <w:color w:val="555555"/>
          <w:sz w:val="17"/>
        </w:rPr>
        <w:t xml:space="preserve">Zitiervorschlag: § 7 Psych-PV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https://recht.nulegal.eu/gesetze/Psych-PV/7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