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Psych-PV — Behandlungsbereiche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Zur Ermittlung des Personalbedarfs werden die Patienten, die einer Krankenhausbehandlung bedürfen, nach Art und Schwere der Krankheit sowie nach den Behandlungszielen und -mitteln gemäß Anlage 1 den folgenden Behandlungsbereichen zugeordnet:</w:t>
      </w:r>
    </w:p>
    <w:p>
      <w:r>
        <w:rPr>
          <w:rFonts w:ascii="Courier New" w:hAnsi="Courier New"/>
          <w:sz w:val="17"/>
        </w:rPr>
        <w:t xml:space="preserve">A    Allgemeine Psychiatrie    S    Abhängigkeitskranke    G    Gerontopsychiatrie</w:t>
      </w:r>
    </w:p>
    <w:p>
      <w:r>
        <w:rPr>
          <w:rFonts w:ascii="Courier New" w:hAnsi="Courier New"/>
          <w:sz w:val="17"/>
        </w:rPr>
        <w:t xml:space="preserve">A1    Regelbehandlung    S1    Regelbehandlung    G1    Regelbehandlung</w:t>
      </w:r>
    </w:p>
    <w:p>
      <w:r>
        <w:rPr>
          <w:rFonts w:ascii="Courier New" w:hAnsi="Courier New"/>
          <w:sz w:val="17"/>
        </w:rPr>
        <w:t xml:space="preserve">A2    Intensivbehandlung    S2    Intensivbehandlung    G2    Intensivbehandlung</w:t>
      </w:r>
    </w:p>
    <w:p>
      <w:r>
        <w:rPr>
          <w:rFonts w:ascii="Courier New" w:hAnsi="Courier New"/>
          <w:sz w:val="17"/>
        </w:rPr>
        <w:t xml:space="preserve">A3    Rehabilitative Behandlung    S3    Rehabilitative Behandlung einschließlich sog. Entwöhnung    G3    Rehabilitative Behandlung</w:t>
      </w:r>
    </w:p>
    <w:p>
      <w:r>
        <w:rPr>
          <w:rFonts w:ascii="Courier New" w:hAnsi="Courier New"/>
          <w:sz w:val="17"/>
        </w:rPr>
        <w:t xml:space="preserve">A4    Langdauernde Behandlung Schwer- und Mehrfachkranker    S4    Langdauernde Behandlung Schwer- und Mehrfachkranker    G4    Langdauernde Behandlung Schwer- und Mehrfachkranker</w:t>
      </w:r>
    </w:p>
    <w:p>
      <w:r>
        <w:rPr>
          <w:rFonts w:ascii="Courier New" w:hAnsi="Courier New"/>
          <w:sz w:val="17"/>
        </w:rPr>
        <w:t xml:space="preserve">A5    Psychotherapie    S5    Psychotherapie    G5    Psychotherapie</w:t>
      </w:r>
    </w:p>
    <w:p>
      <w:r>
        <w:rPr>
          <w:rFonts w:ascii="Courier New" w:hAnsi="Courier New"/>
          <w:sz w:val="17"/>
        </w:rPr>
        <w:t xml:space="preserve">A6    Tagesklinische Behandlung    S6    Tagesklinische Behandlung    G6    Tagesklinische Behandlung</w:t>
      </w:r>
    </w:p>
    <w:p>
      <w:r>
        <w:t xml:space="preserve">(2) Die Vertragsparteien vereinbaren die voraussichtliche, durchschnittliche Zahl der Patienten in den einzelnen Behandlungsbereichen auf der Grundlage von mindestens vier Stichtagserhebungen; dabei ist die durchschnittliche Belegung der Einrichtung mit krankenhausbehandlungsbedürftigen Patienten sowie die Entwicklung im nächsten Pflegesatzzeitraum zu berücksichtigen.</w:t>
      </w:r>
    </w:p>
    <w:p>
      <w:r>
        <w:t xml:space="preserve">(3) Die Stichtagserhebungen nach Absatz 2 sind jeweils am dritten Mittwoch der Monate Januar, April, Juli und Oktober durchzuführen; die Vertragsparteien können abweichende Vereinbarungen treffen. Die Ergebnisse der Stichtagserhebungen hat die Einrichtung den anderen Vertragsparteien, den in § 18 Abs. 1 Satz 2 des Krankenhausfinanzierungsgesetzes genannten Beteiligten und der zuständigen Landesbehörde so rechtzeitig schriftlich oder elektronisch mitzuteilen, daß Vorverhandlungen nach § 17 Abs. 6 der Bundespflegesatzverordnung durchgeführt werden können.</w:t>
      </w:r>
    </w:p>
    <w:p>
      <w:r>
        <w:t xml:space="preserve">(4) Die Vertragsparteien schließen nach § 17 Abs. 7 der Bundespflegesatzverordnung Rahmenvereinbarungen, die</w:t>
      </w:r>
    </w:p>
    <w:p>
      <w:pPr>
        <w:ind w:left="420"/>
      </w:pPr>
      <w:r>
        <w:t xml:space="preserve">1. eine Prüfung der Zuordnung der Patienten zu den Behandlungsbereichen durch den Medizinischen Dienst der Krankenversicherung im Krankenhaus ermöglichen,</w:t>
      </w:r>
    </w:p>
    <w:p>
      <w:pPr>
        <w:ind w:left="420"/>
      </w:pPr>
      <w:r>
        <w:t xml:space="preserve">2. eine Prüfung ermöglichen, ob die Personalausstattung nach dieser Verordnung in ein entsprechendes Behandlungsangebot umgesetzt wurde.</w:t>
      </w:r>
    </w:p>
    <w:p>
      <w:r>
        <w:t xml:space="preserve">§ 19 Abs. 1 der Bundespflegesatzverordnung gilt entsprechend.</w:t>
      </w:r>
    </w:p>
    <w:p>
      <w:r>
        <w:rPr>
          <w:color w:val="555555"/>
          <w:sz w:val="17"/>
        </w:rPr>
        <w:t xml:space="preserve">Zitiervorschlag: § 4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