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ProstStatV</w:t>
      </w:r>
    </w:p>
    <w:p>
      <w:r>
        <w:rPr>
          <w:color w:val="555555"/>
          <w:sz w:val="18"/>
        </w:rPr>
        <w:t xml:space="preserve">Prostitutions-Statistikverordnung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36 Absatz 3 in Verbindung mit § 35 des Prostituiertenschutzgesetzes vom 21. Oktober 2016 (BGBl. I S. 2372) verordnet das Bundesministerium für Familie, Senioren, Frauen und Jugend im Einvernehmen mit dem Bundesministerium des Innern:</w:t>
      </w:r>
    </w:p>
    <w:p>
      <w:r>
        <w:rPr>
          <w:color w:val="555555"/>
          <w:sz w:val="17"/>
        </w:rPr>
        <w:t xml:space="preserve">Zitiervorschlag: Eingangsformel ProstStatV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https://recht.nulegal.eu/gesetze/ProstStatV/eingangsformel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