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ProstStatV — Auskunftspflicht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besteht Auskunftspflicht. Auskunftspflichtig sind die für die Durchführung der in den §§ 2 bis 5 genannten Sachverhalte zuständigen Behörden in den Ländern. Die Auskunftserteilung zu den Angaben nach § 6 Nummer 2 ist freiwillig.</w:t>
      </w:r>
    </w:p>
    <w:p>
      <w:r>
        <w:t xml:space="preserve">(2) Die Angaben sind dem zuständigen statistischen Landesamt bis zum 28. Februar des Folgejahres zu melden.</w:t>
      </w:r>
    </w:p>
    <w:p>
      <w:r>
        <w:rPr>
          <w:color w:val="555555"/>
          <w:sz w:val="17"/>
        </w:rPr>
        <w:t xml:space="preserve">Zitiervorschlag: § 8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