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ProstStatV — Periodizität, Berichtszeitpunkt, Berichtszeitraum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werden jährlich, erstmalig für das Berichtsjahr 2017 durchgeführt. Die Angaben nach § 2 Nummer 2 bis 6 und § 3 Nummer 4 bis 5 werden zusätzlich zum Stichtag 31. Dezember des jeweiligen Kalenderjahres erhoben. Dabei sind jeweils ausschließlich Daten für alle zu diesem Zeitpunkt gültigen Anmeldebescheinigungen und Erlaubnisse zu erfassen.</w:t>
      </w:r>
    </w:p>
    <w:p>
      <w:r>
        <w:t xml:space="preserve">(2) Die Angaben nach § 3 Nummer 6 werden nur zum Stichtag 31. Dezember des jeweiligen Kalenderjahres erhoben.</w:t>
      </w:r>
    </w:p>
    <w:p>
      <w:r>
        <w:rPr>
          <w:color w:val="555555"/>
          <w:sz w:val="17"/>
        </w:rPr>
        <w:t xml:space="preserve">Zitiervorschlag: § 7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