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ProstStatV — Hilfsmerkmale</w:t>
      </w:r>
    </w:p>
    <w:p>
      <w:r>
        <w:rPr>
          <w:color w:val="555555"/>
          <w:sz w:val="18"/>
        </w:rPr>
        <w:t xml:space="preserve">Prostitutions-Statistikverordnung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Hilfsmerkmale sind:</w:t>
      </w:r>
    </w:p>
    <w:p>
      <w:pPr>
        <w:ind w:left="420"/>
      </w:pPr>
      <w:r>
        <w:t xml:space="preserve">1. die Behördenbezeichnung und Anschrift der nach § 8 Absatz 1 Satz 2 auskunftspflichtigen Behörde und</w:t>
      </w:r>
    </w:p>
    <w:p>
      <w:pPr>
        <w:ind w:left="420"/>
      </w:pPr>
      <w:r>
        <w:t xml:space="preserve">2. der Name sowie die Kontaktdaten der für Rückfragen zur Verfügung stehenden Person.</w:t>
      </w:r>
    </w:p>
    <w:p>
      <w:r>
        <w:rPr>
          <w:color w:val="555555"/>
          <w:sz w:val="17"/>
        </w:rPr>
        <w:t xml:space="preserve">Zitiervorschlag: § 6 ProstStatV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https://recht.nulegal.eu/gesetze/ProstStatV/6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