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ProstStatV — Erhebungsmerkmale für die Statistik über Prostitutionsveranstaltungen</w:t>
      </w:r>
    </w:p>
    <w:p>
      <w:r>
        <w:rPr>
          <w:color w:val="555555"/>
          <w:sz w:val="18"/>
        </w:rPr>
        <w:t xml:space="preserve">Prostitutions-Statistikverordnung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Erhebungsmerkmale bei den Erhebungen nach § 1 Nummer 4 sind für jeden Vorgang:</w:t>
      </w:r>
    </w:p>
    <w:p>
      <w:pPr>
        <w:ind w:left="420"/>
      </w:pPr>
      <w:r>
        <w:t xml:space="preserve">1. die Anzeige der Prostitutionsveranstaltung und</w:t>
      </w:r>
    </w:p>
    <w:p>
      <w:pPr>
        <w:ind w:left="420"/>
      </w:pPr>
      <w:r>
        <w:t xml:space="preserve">2. der Ort der Prostitutionsveranstaltung.</w:t>
      </w:r>
    </w:p>
    <w:p>
      <w:r>
        <w:rPr>
          <w:color w:val="555555"/>
          <w:sz w:val="17"/>
        </w:rPr>
        <w:t xml:space="preserve">Zitiervorschlag: § 5 ProstStatV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https://recht.nulegal.eu/gesetze/ProstStatV/5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