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ProstStatV — Erhebungsmerkmale für die Statistik über Prostitutionsfahrzeuge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Erhebungsmerkmale bei den Erhebungen nach § 1 Nummer 3 sind für jeden Vorgang:</w:t>
      </w:r>
    </w:p>
    <w:p>
      <w:pPr>
        <w:ind w:left="420"/>
      </w:pPr>
      <w:r>
        <w:t xml:space="preserve">1. die Anzeige der Aufstellung eines Prostitutionsfahrzeuges,</w:t>
      </w:r>
    </w:p>
    <w:p>
      <w:pPr>
        <w:ind w:left="420"/>
      </w:pPr>
      <w:r>
        <w:t xml:space="preserve">2. der Ort der Aufstellung eines Prostitutionsfahrzeuges und</w:t>
      </w:r>
    </w:p>
    <w:p>
      <w:pPr>
        <w:ind w:left="420"/>
      </w:pPr>
      <w:r>
        <w:t xml:space="preserve">3. die Untersagung der Aufstellung eines Prostitutionsfahrzeuges.</w:t>
      </w:r>
    </w:p>
    <w:p>
      <w:r>
        <w:rPr>
          <w:color w:val="555555"/>
          <w:sz w:val="17"/>
        </w:rPr>
        <w:t xml:space="preserve">Zitiervorschlag: § 4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