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33a ProstSchG — Einziehung</w:t>
      </w:r>
    </w:p>
    <w:p>
      <w:r>
        <w:rPr>
          <w:color w:val="555555"/>
          <w:sz w:val="18"/>
        </w:rPr>
        <w:t xml:space="preserve">Prostituiertenschutzgesetz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Gegenstände, auf die sich eine Ordnungswidrigkeit nach § 33 Absatz 2 Nummer 14 bezieht, können eingezogen werden.</w:t>
      </w:r>
    </w:p>
    <w:p>
      <w:r>
        <w:t xml:space="preserve">(2) § 123 Absatz 2 des Gesetzes über Ordnungswidrigkeiten findet entsprechende Anwendung.</w:t>
      </w:r>
    </w:p>
    <w:p>
      <w:r>
        <w:rPr>
          <w:color w:val="555555"/>
          <w:sz w:val="17"/>
        </w:rPr>
        <w:t xml:space="preserve">Zitiervorschlag: § 33a ProstSchG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https://recht.nulegal.eu/gesetze/ProstSchG/33a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