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ProstSchG — Überwachung und Auskunftspflicht bei Anhaltspunkten für die Ausübung der Prostitution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29 geregelten Befugnisse stehen der zuständigen Behörde auch zu, wenn Tatsachen die Annahme rechtfertigen, dass</w:t>
      </w:r>
    </w:p>
    <w:p>
      <w:pPr>
        <w:ind w:left="420"/>
      </w:pPr>
      <w:r>
        <w:t xml:space="preserve">1. ein Prostitutionsgewerbe ohne die erforderliche Erlaubnis ausgeübt wird oder</w:t>
      </w:r>
    </w:p>
    <w:p>
      <w:pPr>
        <w:ind w:left="420"/>
      </w:pPr>
      <w:r>
        <w:t xml:space="preserve">2. eine Wohnung oder sonstige Räumlichkeiten oder ein Fahrzeug für die Erbringung sexueller Dienstleistungen durch eine Prostituierte oder einen Prostituierten genutzt wird.</w:t>
      </w:r>
    </w:p>
    <w:p>
      <w:r>
        <w:t xml:space="preserve">(2) Die Vorschriften über die Auskunftspflicht nach § 30 sind entsprechend anzuwenden.</w:t>
      </w:r>
    </w:p>
    <w:p>
      <w:r>
        <w:rPr>
          <w:color w:val="555555"/>
          <w:sz w:val="17"/>
        </w:rPr>
        <w:t xml:space="preserve">Zitiervorschlag: § 31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