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ProstSchG — Anordnungen gegenüber Prostituierten</w:t>
      </w:r>
    </w:p>
    <w:p>
      <w:r>
        <w:rPr>
          <w:color w:val="555555"/>
          <w:sz w:val="18"/>
        </w:rPr>
        <w:t xml:space="preserve">Prostituiertenschutzgesetz</w:t>
      </w:r>
    </w:p>
    <w:p>
      <w:r>
        <w:rPr>
          <w:color w:val="555555"/>
          <w:sz w:val="18"/>
        </w:rPr>
        <w:t xml:space="preserve">Stand: 10.06.2019 (konsolidierte Textfassung, kein amtliches Inkrafttretensdatum)</w:t>
      </w:r>
    </w:p>
    <w:p>
      <w:r>
        <w:t xml:space="preserve">(1) Liegen der zuständigen Behörde tatsächliche Anhaltspunkte dafür vor, dass eine Person der Prostitution nachgeht, ohne diese Tätigkeit zuvor angemeldet zu haben, so fordert die zuständige Behörde die Person auf, ihre Tätigkeit als Prostituierte oder als Prostituierter innerhalb einer angemessenen Frist anzumelden und der zuständigen Behörde die Anmeldebescheinigung vorzulegen.</w:t>
      </w:r>
    </w:p>
    <w:p>
      <w:r>
        <w:t xml:space="preserve">(2) Liegen der zuständigen Behörde tatsächliche Anhaltspunkte dafür vor, dass eine Person der Prostitution nachgeht, ohne die Pflicht zur gesundheitlichen Beratung wahrgenommen zu haben, so fordert die zuständige Behörde die Person auf, innerhalb einer angemessenen Frist die gesundheitliche Beratung wahrzunehmen und der zuständigen Behörde die Bescheinigung über die gesundheitliche Beratung vorzulegen.</w:t>
      </w:r>
    </w:p>
    <w:p>
      <w:r>
        <w:t xml:space="preserve">(3) Die zuständige Behörde kann gegenüber Prostituierten jederzeit Anordnungen zur Ausübung der Prostitution erteilen, soweit dies erforderlich ist</w:t>
      </w:r>
    </w:p>
    <w:p>
      <w:pPr>
        <w:ind w:left="420"/>
      </w:pPr>
      <w:r>
        <w:t xml:space="preserve">1. zum Schutz der Kundinnen und Kunden oder anderer Personen vor Gefahren für Leben, Freiheit, sexuelle Selbstbestimmung oder Gesundheit,</w:t>
      </w:r>
    </w:p>
    <w:p>
      <w:pPr>
        <w:ind w:left="420"/>
      </w:pPr>
      <w:r>
        <w:t xml:space="preserve">2. zum Schutz der Jugend oder</w:t>
      </w:r>
    </w:p>
    <w:p>
      <w:pPr>
        <w:ind w:left="420"/>
      </w:pPr>
      <w:r>
        <w:t xml:space="preserve">3. zur Abwehr anderer erheblicher Beeinträchtigungen oder Gefahren für sonstige Belange des öffentlichen Interesses, insbesondere zum Schutz von Anwohnerinnen und Anwohnern, von Anliegern oder der Allgemeinheit vor Lärmimmissionen, verhaltensbedingten oder sonstigen Belästigungen.</w:t>
      </w:r>
    </w:p>
    <w:p>
      <w:r>
        <w:t xml:space="preserve">(4) Die zuständige Behörde kann weitere Maßnahmen treffen, wenn</w:t>
      </w:r>
    </w:p>
    <w:p>
      <w:pPr>
        <w:ind w:left="420"/>
      </w:pPr>
      <w:r>
        <w:t xml:space="preserve">1. die oder der Prostituierte gegen Anordnungen nach Absatz 3 verstoßen hat und</w:t>
      </w:r>
    </w:p>
    <w:p>
      <w:pPr>
        <w:ind w:left="420"/>
      </w:pPr>
      <w:r>
        <w:t xml:space="preserve">2. die Erteilung von weiteren Anordnungen nach Absatz 3 zum Schutz der dort genannten Rechtsgüter nicht ausreichend wäre.</w:t>
      </w:r>
    </w:p>
    <w:p>
      <w:r>
        <w:t xml:space="preserve">(5) Vorschriften und Anordnungen, die auf einer nach Artikel 297 des Einführungsgesetzes zum Strafgesetzbuch ergangenen Verordnung beruhen, sowie Maßnahmen nach dem Infektionsschutzgesetz bleiben unberührt.</w:t>
      </w:r>
    </w:p>
    <w:p>
      <w:r>
        <w:rPr>
          <w:color w:val="555555"/>
          <w:sz w:val="17"/>
        </w:rPr>
        <w:t xml:space="preserve">Zitiervorschlag: § 11 ProstSchG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https://recht.nulegal.eu/gesetze/ProstSchG/11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