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ProstSchG — Anwendungsbereich</w:t>
      </w:r>
    </w:p>
    <w:p>
      <w:r>
        <w:rPr>
          <w:color w:val="555555"/>
          <w:sz w:val="18"/>
        </w:rPr>
        <w:t xml:space="preserve">Prostituiertenschutzgesetz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ist anzuwenden auf die Ausübung der Prostitution durch Personen über 18 Jahre sowie auf das Betreiben eines Prostitutionsgewerbes.</w:t>
      </w:r>
    </w:p>
    <w:p>
      <w:r>
        <w:rPr>
          <w:color w:val="555555"/>
          <w:sz w:val="17"/>
        </w:rPr>
        <w:t xml:space="preserve">Zitiervorschlag: § 1 ProstSchG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https://recht.nulegal.eu/gesetze/ProstSchG/1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