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ProstG</w:t>
      </w:r>
    </w:p>
    <w:p>
      <w:r>
        <w:rPr>
          <w:color w:val="555555"/>
          <w:sz w:val="18"/>
        </w:rPr>
        <w:t xml:space="preserve">Prostitutionsgesetz</w:t>
      </w:r>
    </w:p>
    <w:p>
      <w:r>
        <w:rPr>
          <w:color w:val="555555"/>
          <w:sz w:val="18"/>
        </w:rPr>
        <w:t xml:space="preserve">Stand: 10.06.2019 (konsolidierte Textfassung, kein amtliches Inkrafttretensdatum)</w:t>
      </w:r>
    </w:p>
    <w:p>
      <w:r>
        <w:t xml:space="preserve">Sind sexuelle Handlungen gegen ein vorher vereinbartes Entgelt vorgenommen worden, so begründet diese Vereinbarung eine rechtswirksame Forderung. Das Gleiche gilt, wenn sich eine Person, insbesondere im Rahmen eines Beschäftigungsverhältnisses, für die Erbringung derartiger Handlungen gegen ein vorher vereinbartes Entgelt für eine bestimmte Zeitdauer bereithält.</w:t>
      </w:r>
    </w:p>
    <w:p>
      <w:r>
        <w:rPr>
          <w:color w:val="555555"/>
          <w:sz w:val="17"/>
        </w:rPr>
        <w:t xml:space="preserve">Zitiervorschlag: § 1 ProstG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https://recht.nulegal.eu/gesetze/ProstG/1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