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ProstAV</w:t>
      </w:r>
    </w:p>
    <w:p>
      <w:r>
        <w:rPr>
          <w:color w:val="555555"/>
          <w:sz w:val="18"/>
        </w:rPr>
        <w:t xml:space="preserve">Prostitutionsanmeldeverordnung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Absatz 2 des Prostituiertenschutzgesetzes vom 21. Oktober 2016 (BGBl. I S. 2372) verordnet das Bundesministerium für Familie, Senioren, Frauen und Jugend im Einvernehmen mit dem Bundesministerium des Innern:</w:t>
      </w:r>
    </w:p>
    <w:p>
      <w:r>
        <w:rPr>
          <w:color w:val="555555"/>
          <w:sz w:val="17"/>
        </w:rPr>
        <w:t xml:space="preserve">Zitiervorschlag: Eingangsformel ProstAV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