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ProstAV — Vordrucke für die Anmeldebescheinigung und für die Aliasbescheinigung, Anforderungen an das Lichtbild</w:t>
      </w:r>
    </w:p>
    <w:p>
      <w:r>
        <w:rPr>
          <w:color w:val="555555"/>
          <w:sz w:val="18"/>
        </w:rPr>
        <w:t xml:space="preserve">Prostitutionsanmeldeverordnung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Anmeldebescheinigung und für die Aliasbescheinigung sind die Vordrucke nach dem Muster der Anlage zu verwenden.</w:t>
      </w:r>
    </w:p>
    <w:p>
      <w:r>
        <w:t xml:space="preserve">(2) Das Lichtbild muss die Anforderungen nach § 7 Absatz 1 Satz 1 der Personalausweisverordnung erfüllen.</w:t>
      </w:r>
    </w:p>
    <w:p>
      <w:r>
        <w:rPr>
          <w:color w:val="555555"/>
          <w:sz w:val="17"/>
        </w:rPr>
        <w:t xml:space="preserve">Zitiervorschlag: § 2 ProstAV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