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ProstAV — Angaben zur Wohnung oder zur Zustellanschrift</w:t>
      </w:r>
    </w:p>
    <w:p>
      <w:r>
        <w:rPr>
          <w:color w:val="555555"/>
          <w:sz w:val="18"/>
        </w:rPr>
        <w:t xml:space="preserve">Prostitutionsanmeldeverordnung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alleinigen Wohnung oder Hauptwohnung im Sinne des Melderechts (§ 4 Absatz 1 Nummer 4 des Prostituiertenschutzgesetzes) hat die anmeldepflichtige Person neben der Anschrift auch Angaben zur Erfüllung der Meldepflicht nach § 17 Absatz 1 des Bundesmeldegesetzes zu machen.</w:t>
      </w:r>
    </w:p>
    <w:p>
      <w:r>
        <w:t xml:space="preserve">(2) Zur Zustellanschrift hat die anmeldepflichtige Person auch Angaben zu machen, die es wahrscheinlich erscheinen lassen, dass sie unter dieser Zustellanschrift zu erreichen ist.</w:t>
      </w:r>
    </w:p>
    <w:p>
      <w:r>
        <w:rPr>
          <w:color w:val="555555"/>
          <w:sz w:val="17"/>
        </w:rPr>
        <w:t xml:space="preserve">Zitiervorschlag: § 1 ProstAV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