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ProdSG2011V 6 — Bevollmächtigter des Herstellers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Hersteller kann schriftlich einen Bevollmächtigten benennen.</w:t>
      </w:r>
    </w:p>
    <w:p>
      <w:r>
        <w:t xml:space="preserve">(2) Der Bevollmächtigte nimmt die ihm vom Hersteller übertragenen Pflichten für diesen wahr.</w:t>
      </w:r>
    </w:p>
    <w:p>
      <w:r>
        <w:t xml:space="preserve">(3) Ein Hersteller, der einen Bevollmächtigten einsetzt, muss diesem mindestens die folgenden Pflichten übertragen:</w:t>
      </w:r>
    </w:p>
    <w:p>
      <w:pPr>
        <w:ind w:left="420"/>
      </w:pPr>
      <w:r>
        <w:t xml:space="preserve">1. die Pflicht, die technischen Unterlagen und die EU-Konformitätserklärung nach § 5 Absatz 5 bereitzuhalten,</w:t>
      </w:r>
    </w:p>
    <w:p>
      <w:pPr>
        <w:ind w:left="420"/>
      </w:pPr>
      <w:r>
        <w:t xml:space="preserve">2. die Pflicht, der Marktüberwachungsbehörde die Informationen und Unterlagen nach § 6 Absatz 5 zur Verfügung zu stellen, und</w:t>
      </w:r>
    </w:p>
    <w:p>
      <w:pPr>
        <w:ind w:left="420"/>
      </w:pPr>
      <w:r>
        <w:t xml:space="preserve">3. die Pflicht, mit der Marktüberwachungsbehörde auf deren Verlangen bei allen Maßnahmen zur Abwendung der Risiken, die mit den einfachen Druckbehältern verbunden sind, die zum Aufgabenbereich des Bevollmächtigten gehören, zusammenzuarbeiten.</w:t>
      </w:r>
    </w:p>
    <w:p>
      <w:r>
        <w:t xml:space="preserve">(4) Die Pflichten gemäß § 5 Absatz 1 und 2 und die Pflicht zur Erstellung der technischen Unterlagen gemäß § 5 Absatz 3 darf der Hersteller nicht auf einen Bevollmächtigten übertragen.</w:t>
      </w:r>
    </w:p>
    <w:p>
      <w:r>
        <w:rPr>
          <w:color w:val="555555"/>
          <w:sz w:val="17"/>
        </w:rPr>
        <w:t xml:space="preserve">Zitiervorschlag: § 7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