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ProdSG2011V 6 — Begriffsbestimmungen</w:t>
      </w:r>
    </w:p>
    <w:p>
      <w:r>
        <w:rPr>
          <w:color w:val="555555"/>
          <w:sz w:val="18"/>
        </w:rPr>
        <w:t xml:space="preserve">Verordnung über einfache Druckbehälter</w:t>
      </w:r>
    </w:p>
    <w:p>
      <w:r>
        <w:rPr>
          <w:color w:val="555555"/>
          <w:sz w:val="18"/>
        </w:rPr>
        <w:t xml:space="preserve">Stand: 30.05.2026 (konsolidierte Textfassung, kein amtliches Inkrafttretensdatum)</w:t>
      </w:r>
    </w:p>
    <w:p>
      <w:r>
        <w:t xml:space="preserve">Im Sinne dieser Verordnung ist oder sind</w:t>
      </w:r>
    </w:p>
    <w:p>
      <w:pPr>
        <w:ind w:left="420"/>
      </w:pPr>
      <w:r>
        <w:t xml:space="preserve">1. Druckinhaltsprodukt: das Produkt aus dem maximalen Betriebsdruck des einfachen Druckbehälters und seinem Fassungsvermögen, ausgedrückt in der Einheit bar∙Liter</w:t>
      </w:r>
    </w:p>
    <w:p>
      <w:pPr>
        <w:ind w:left="420"/>
      </w:pPr>
      <w:r>
        <w:t xml:space="preserve">2. einfache Druckbehälter: serienmäßig hergestellte geschweißte Behälter,</w:t>
      </w:r>
    </w:p>
    <w:p>
      <w:pPr>
        <w:ind w:left="780"/>
      </w:pPr>
      <w:r>
        <w:t xml:space="preserve">a) die dazu bestimmt sind, einem relativen Überdruck von mehr als 0,5 bar ausgesetzt zu sein,</w:t>
      </w:r>
    </w:p>
    <w:p>
      <w:pPr>
        <w:ind w:left="780"/>
      </w:pPr>
      <w:r>
        <w:t xml:space="preserve">b) die dazu bestimmt sind, ausschließlich Luft oder Stickstoff aufzunehmen,</w:t>
      </w:r>
    </w:p>
    <w:p>
      <w:pPr>
        <w:ind w:left="780"/>
      </w:pPr>
      <w:r>
        <w:t xml:space="preserve">c) die nicht dafür bestimmt sind, einer Flammeneinwirkung ausgesetzt zu werden,</w:t>
      </w:r>
    </w:p>
    <w:p>
      <w:pPr>
        <w:ind w:left="780"/>
      </w:pPr>
      <w:r>
        <w:t xml:space="preserve">d) deren drucktragende Teile und Verbindungen aus unlegiertem Qualitätsstahl, aus unlegiertem Aluminium oder aus nichtaushärtbaren Aluminiumlegierungen hergestellt sind,</w:t>
      </w:r>
    </w:p>
    <w:p>
      <w:pPr>
        <w:ind w:left="780"/>
      </w:pPr>
      <w:r>
        <w:t xml:space="preserve">e) die</w:t>
      </w:r>
    </w:p>
    <w:p>
      <w:pPr>
        <w:ind w:left="1140"/>
      </w:pPr>
      <w:r>
        <w:t xml:space="preserve">aa) aus einem zylindrischen Teil mit rundem Querschnitt bestehen, der durch nach außen gewölbte oder flache Böden geschlossen ist, wobei die Umdrehungsachse dieser Böden der des zylindrischen Teils entspricht, oder</w:t>
      </w:r>
    </w:p>
    <w:p>
      <w:pPr>
        <w:ind w:left="1140"/>
      </w:pPr>
      <w:r>
        <w:t xml:space="preserve">bb) aus zwei gewölbten Böden mit gleicher Umdrehungsachse bestehen,</w:t>
      </w:r>
    </w:p>
    <w:p>
      <w:pPr>
        <w:ind w:left="780"/>
      </w:pPr>
      <w:r>
        <w:t xml:space="preserve">f) deren Betriebsdruck maximal 30 bar beträgt,</w:t>
      </w:r>
    </w:p>
    <w:p>
      <w:pPr>
        <w:ind w:left="780"/>
      </w:pPr>
      <w:r>
        <w:t xml:space="preserve">g) deren Druckinhaltsprodukt maximal 10 000 bar∙Liter beträgt,</w:t>
      </w:r>
    </w:p>
    <w:p>
      <w:pPr>
        <w:ind w:left="780"/>
      </w:pPr>
      <w:r>
        <w:t xml:space="preserve">h) deren niedrigste Betriebstemperatur nicht unter minus 50 Grad Celsius liegt und</w:t>
      </w:r>
    </w:p>
    <w:p>
      <w:pPr>
        <w:ind w:left="780"/>
      </w:pPr>
      <w:r>
        <w:t xml:space="preserve">i) deren höchste Betriebstemperatur</w:t>
      </w:r>
    </w:p>
    <w:p>
      <w:pPr>
        <w:ind w:left="1140"/>
      </w:pPr>
      <w:r>
        <w:t xml:space="preserve">aa) bei Behältern aus Stahl nicht über 300 Grad Celsius liegt,</w:t>
      </w:r>
    </w:p>
    <w:p>
      <w:pPr>
        <w:ind w:left="1140"/>
      </w:pPr>
      <w:r>
        <w:t xml:space="preserve">bb) bei Behältern aus Aluminium oder Aluminiumlegierung nicht über 100 Grad Celsius liegt,</w:t>
      </w:r>
    </w:p>
    <w:p>
      <w:pPr>
        <w:ind w:left="420"/>
      </w:pPr>
      <w:r>
        <w:t xml:space="preserve">3. EU-Konformitätserklärung: eine Erklärung gemäß Artikel 14 der Richtlinie 2014/29/EU in der Fassung vom 9. Oktober 2024,</w:t>
      </w:r>
    </w:p>
    <w:p>
      <w:pPr>
        <w:ind w:left="420"/>
      </w:pPr>
      <w:r>
        <w:t xml:space="preserve">4. harmonisierte Norm: eine harmonisierte Norm im Sinne des Artikels 2 Nummer 1 Buchstabe c der Verordnung (EU) Nr. 1025/2012,</w:t>
      </w:r>
    </w:p>
    <w:p>
      <w:pPr>
        <w:ind w:left="420"/>
      </w:pPr>
      <w:r>
        <w:t xml:space="preserve">5. Hersteller: jede natürliche oder juristische Person, die einen einfachen Druckbehälter herstellt oder entwickeln oder herstellen lässt und diesen einfachen Druckbehälter unter ihrem eigenen Namen oder ihrer eigenen Handelsmarke vermarktet,</w:t>
      </w:r>
    </w:p>
    <w:p>
      <w:pPr>
        <w:ind w:left="420"/>
      </w:pPr>
      <w:r>
        <w:t xml:space="preserve">6. technische Spezifikation: ein Dokument, in dem die technischen Anforderungen vorgeschrieben sind, denen ein einfacher Druckbehälter genügen muss,</w:t>
      </w:r>
    </w:p>
    <w:p>
      <w:pPr>
        <w:ind w:left="420"/>
      </w:pPr>
      <w:r>
        <w:t xml:space="preserve">7. krisenrelevante Waren: krisenrelevante Waren im Sinne des Artikels 3 Nummer 6 der Verordnung (EU) 2024/2747,</w:t>
      </w:r>
    </w:p>
    <w:p>
      <w:pPr>
        <w:ind w:left="420"/>
      </w:pPr>
      <w:r>
        <w:t xml:space="preserve">8. Notfallmodus für den Binnenmarkt: der Notfallmodus für den Binnenmarkt im Sinne des Artikels 3 Nummer 3 der Verordnung (EU) 2024/2747.</w:t>
      </w:r>
    </w:p>
    <w:p>
      <w:r>
        <w:t xml:space="preserve">Im Übrigen sind die Begriffsbestimmungen des § 2 des Produktsicherheitsgesetzes vom 27. Juli 2021 (BGBl. I S. 3146) anzuwenden.</w:t>
      </w:r>
    </w:p>
    <w:p>
      <w:r>
        <w:rPr>
          <w:color w:val="555555"/>
          <w:sz w:val="17"/>
        </w:rPr>
        <w:t xml:space="preserve">Zitiervorschlag: § 2 ProdSG2011V 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https://recht.nulegal.eu/gesetze/ProdSG2011V%206/2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