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ProdSG2011V 6 — Übergangsvorschriften</w:t>
      </w:r>
    </w:p>
    <w:p>
      <w:r>
        <w:rPr>
          <w:color w:val="555555"/>
          <w:sz w:val="18"/>
        </w:rPr>
        <w:t xml:space="preserve">Verordnung über einfache Druckbehälter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(1) Einfache Druckbehälter, die die Anforderungen der Richtlinie 2009/105/EG in der Fassung vom 25. Oktober 2012, die durch die Richtlinie 2014/29/EU aufgehoben worden ist, erfüllen und vor dem 20. April 2016 in den Verkehr gebracht wurden, dürfen auf dem Markt bereitgestellt und in Betrieb genommen werden.</w:t>
      </w:r>
    </w:p>
    <w:p>
      <w:r>
        <w:t xml:space="preserve">(2) Bescheinigungen, die von notifizierten Stellen gemäß der Richtlinie 2009/105/EG ausgestellt worden sind, bleiben im Rahmen der vorliegenden Verordnung gültig.</w:t>
      </w:r>
    </w:p>
    <w:p>
      <w:r>
        <w:rPr>
          <w:color w:val="555555"/>
          <w:sz w:val="17"/>
        </w:rPr>
        <w:t xml:space="preserve">Zitiervorschlag: § 19 ProdSG2011V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https://recht.nulegal.eu/gesetze/ProdSG2011V%206/19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